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jc w:val="both"/>
        <w:textAlignment w:val="auto"/>
        <w:rPr>
          <w:rFonts w:hint="eastAsia" w:ascii="仿宋" w:hAnsi="仿宋" w:eastAsia="仿宋" w:cs="仿宋"/>
          <w:sz w:val="32"/>
          <w:szCs w:val="40"/>
          <w:lang w:val="en-US" w:eastAsia="zh-CN"/>
        </w:rPr>
      </w:pPr>
      <w:r>
        <w:rPr>
          <w:rFonts w:hint="eastAsia" w:ascii="黑体" w:hAnsi="黑体" w:eastAsia="黑体" w:cs="黑体"/>
          <w:sz w:val="32"/>
          <w:szCs w:val="40"/>
          <w:lang w:val="en-US" w:eastAsia="zh-CN"/>
        </w:rPr>
        <w:t xml:space="preserve">附件： </w:t>
      </w:r>
      <w:r>
        <w:rPr>
          <w:rFonts w:hint="eastAsia" w:ascii="仿宋" w:hAnsi="仿宋" w:eastAsia="仿宋" w:cs="仿宋"/>
          <w:sz w:val="32"/>
          <w:szCs w:val="40"/>
          <w:lang w:val="en-US" w:eastAsia="zh-CN"/>
        </w:rPr>
        <w:t xml:space="preserve"> </w:t>
      </w:r>
    </w:p>
    <w:p>
      <w:pPr>
        <w:widowControl/>
        <w:adjustRightInd w:val="0"/>
        <w:snapToGrid w:val="0"/>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武汉大学2020年度国家级一流本科</w:t>
      </w:r>
    </w:p>
    <w:p>
      <w:pPr>
        <w:widowControl/>
        <w:adjustRightInd w:val="0"/>
        <w:snapToGrid w:val="0"/>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专业建设点推荐遴选方案</w:t>
      </w:r>
    </w:p>
    <w:p>
      <w:pPr>
        <w:numPr>
          <w:ilvl w:val="0"/>
          <w:numId w:val="1"/>
        </w:numPr>
        <w:spacing w:line="360" w:lineRule="auto"/>
        <w:ind w:firstLine="643" w:firstLineChars="200"/>
        <w:rPr>
          <w:b/>
          <w:sz w:val="32"/>
          <w:szCs w:val="28"/>
        </w:rPr>
      </w:pPr>
      <w:r>
        <w:rPr>
          <w:rFonts w:hint="eastAsia"/>
          <w:b/>
          <w:sz w:val="32"/>
          <w:szCs w:val="28"/>
        </w:rPr>
        <w:t>评审名额</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根据《教育部办公厅关于实施一流本科专业建设“双万计划”的通知》，我校20</w:t>
      </w:r>
      <w:r>
        <w:rPr>
          <w:rFonts w:hint="eastAsia" w:ascii="仿宋_GB2312" w:hAnsi="Times New Roman" w:eastAsia="仿宋_GB2312" w:cs="Times New Roman"/>
          <w:sz w:val="28"/>
          <w:szCs w:val="28"/>
          <w:lang w:val="en-US" w:eastAsia="zh-CN"/>
        </w:rPr>
        <w:t>20</w:t>
      </w:r>
      <w:r>
        <w:rPr>
          <w:rFonts w:hint="eastAsia" w:ascii="仿宋_GB2312" w:hAnsi="Times New Roman" w:eastAsia="仿宋_GB2312" w:cs="Times New Roman"/>
          <w:sz w:val="28"/>
          <w:szCs w:val="28"/>
        </w:rPr>
        <w:t>年度</w:t>
      </w:r>
      <w:r>
        <w:rPr>
          <w:rFonts w:hint="eastAsia" w:ascii="仿宋_GB2312" w:hAnsi="Times New Roman" w:eastAsia="仿宋_GB2312" w:cs="Times New Roman"/>
          <w:sz w:val="28"/>
          <w:szCs w:val="28"/>
          <w:lang w:val="en-US" w:eastAsia="zh-CN"/>
        </w:rPr>
        <w:t>可</w:t>
      </w:r>
      <w:r>
        <w:rPr>
          <w:rFonts w:hint="eastAsia" w:ascii="仿宋_GB2312" w:hAnsi="Times New Roman" w:eastAsia="仿宋_GB2312" w:cs="Times New Roman"/>
          <w:sz w:val="28"/>
          <w:szCs w:val="28"/>
        </w:rPr>
        <w:t>报送的专业点数</w:t>
      </w:r>
      <w:r>
        <w:rPr>
          <w:rFonts w:hint="eastAsia" w:ascii="仿宋_GB2312" w:hAnsi="Times New Roman" w:eastAsia="仿宋_GB2312" w:cs="Times New Roman"/>
          <w:sz w:val="28"/>
          <w:szCs w:val="28"/>
          <w:lang w:val="en-US" w:eastAsia="zh-CN"/>
        </w:rPr>
        <w:t>为</w:t>
      </w:r>
      <w:r>
        <w:rPr>
          <w:rFonts w:hint="eastAsia" w:ascii="仿宋_GB2312" w:hAnsi="Times New Roman" w:eastAsia="仿宋_GB2312" w:cs="Times New Roman"/>
          <w:sz w:val="28"/>
          <w:szCs w:val="28"/>
        </w:rPr>
        <w:t>3</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个。</w:t>
      </w:r>
    </w:p>
    <w:p>
      <w:pPr>
        <w:numPr>
          <w:ilvl w:val="0"/>
          <w:numId w:val="1"/>
        </w:numPr>
        <w:spacing w:line="360" w:lineRule="auto"/>
        <w:ind w:firstLine="643" w:firstLineChars="200"/>
        <w:rPr>
          <w:rFonts w:hint="eastAsia"/>
          <w:b/>
          <w:sz w:val="32"/>
          <w:szCs w:val="28"/>
          <w:lang w:val="en-US" w:eastAsia="zh-CN"/>
        </w:rPr>
      </w:pPr>
      <w:r>
        <w:rPr>
          <w:rFonts w:hint="eastAsia"/>
          <w:b/>
          <w:sz w:val="32"/>
          <w:szCs w:val="28"/>
          <w:lang w:val="en-US" w:eastAsia="zh-CN"/>
        </w:rPr>
        <w:t>推荐原则</w:t>
      </w:r>
    </w:p>
    <w:p>
      <w:pPr>
        <w:spacing w:line="360" w:lineRule="auto"/>
        <w:ind w:firstLine="562" w:firstLineChars="200"/>
        <w:rPr>
          <w:rFonts w:ascii="仿宋_GB2312" w:hAnsi="Times New Roman" w:eastAsia="仿宋_GB2312" w:cs="Times New Roman"/>
          <w:b/>
          <w:bCs/>
          <w:sz w:val="28"/>
        </w:rPr>
      </w:pPr>
      <w:r>
        <w:rPr>
          <w:rFonts w:hint="eastAsia" w:ascii="仿宋_GB2312" w:hAnsi="Times New Roman" w:eastAsia="仿宋_GB2312" w:cs="Times New Roman"/>
          <w:b/>
          <w:bCs/>
          <w:sz w:val="28"/>
        </w:rPr>
        <w:t>1.</w:t>
      </w:r>
      <w:r>
        <w:rPr>
          <w:rFonts w:hint="eastAsia" w:ascii="仿宋_GB2312" w:hAnsi="Times New Roman" w:eastAsia="仿宋_GB2312" w:cs="Times New Roman"/>
          <w:b/>
          <w:bCs/>
          <w:sz w:val="28"/>
          <w:lang w:val="en-US" w:eastAsia="zh-CN"/>
        </w:rPr>
        <w:t>2019年度获批省级一流本科专业建设点专业</w:t>
      </w:r>
      <w:r>
        <w:rPr>
          <w:rFonts w:hint="eastAsia" w:ascii="仿宋_GB2312" w:hAnsi="Times New Roman" w:eastAsia="仿宋_GB2312" w:cs="Times New Roman"/>
          <w:b/>
          <w:bCs/>
          <w:sz w:val="28"/>
        </w:rPr>
        <w:t>直接推荐：</w:t>
      </w:r>
    </w:p>
    <w:tbl>
      <w:tblPr>
        <w:tblStyle w:val="2"/>
        <w:tblW w:w="7577" w:type="dxa"/>
        <w:jc w:val="center"/>
        <w:tblLayout w:type="autofit"/>
        <w:tblCellMar>
          <w:top w:w="0" w:type="dxa"/>
          <w:left w:w="0" w:type="dxa"/>
          <w:bottom w:w="0" w:type="dxa"/>
          <w:right w:w="0" w:type="dxa"/>
        </w:tblCellMar>
      </w:tblPr>
      <w:tblGrid>
        <w:gridCol w:w="1104"/>
        <w:gridCol w:w="3075"/>
        <w:gridCol w:w="3398"/>
      </w:tblGrid>
      <w:tr>
        <w:tblPrEx>
          <w:tblCellMar>
            <w:top w:w="0" w:type="dxa"/>
            <w:left w:w="0" w:type="dxa"/>
            <w:bottom w:w="0" w:type="dxa"/>
            <w:right w:w="0" w:type="dxa"/>
          </w:tblCellMar>
        </w:tblPrEx>
        <w:trPr>
          <w:trHeight w:val="375" w:hRule="atLeas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序号</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专业名称</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b/>
                <w:color w:val="000000"/>
                <w:kern w:val="2"/>
                <w:sz w:val="28"/>
                <w:szCs w:val="28"/>
                <w:lang w:val="en-US" w:eastAsia="zh-CN" w:bidi="ar-SA"/>
              </w:rPr>
            </w:pPr>
            <w:r>
              <w:rPr>
                <w:rFonts w:hint="eastAsia" w:ascii="黑体" w:hAnsi="宋体" w:eastAsia="黑体" w:cs="黑体"/>
                <w:b/>
                <w:color w:val="000000"/>
                <w:kern w:val="0"/>
                <w:sz w:val="28"/>
                <w:szCs w:val="28"/>
                <w:lang w:val="en-US" w:eastAsia="zh-CN" w:bidi="ar"/>
              </w:rPr>
              <w:t>单位</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金融工程</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经济与管理学院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英语</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外国语言文学学院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广告学</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新闻与传播学院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val="en-US" w:eastAsia="zh-CN" w:bidi="ar"/>
              </w:rPr>
            </w:pPr>
            <w:r>
              <w:rPr>
                <w:rFonts w:hint="eastAsia" w:ascii="仿宋_GB2312" w:hAnsi="等线" w:eastAsia="仿宋_GB2312" w:cs="仿宋_GB2312"/>
                <w:color w:val="000000"/>
                <w:kern w:val="0"/>
                <w:sz w:val="24"/>
                <w:lang w:val="en-US" w:eastAsia="zh-CN"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val="en-US" w:eastAsia="zh-CN" w:bidi="ar"/>
              </w:rPr>
            </w:pPr>
            <w:r>
              <w:rPr>
                <w:rFonts w:hint="eastAsia" w:ascii="仿宋_GB2312" w:hAnsi="等线" w:eastAsia="仿宋_GB2312" w:cs="仿宋_GB2312"/>
                <w:color w:val="000000"/>
                <w:kern w:val="0"/>
                <w:sz w:val="24"/>
                <w:lang w:val="en-US" w:eastAsia="zh-CN" w:bidi="ar"/>
              </w:rPr>
              <w:t>给排水科学与工程</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val="en-US" w:eastAsia="zh-CN" w:bidi="ar"/>
              </w:rPr>
            </w:pPr>
            <w:r>
              <w:rPr>
                <w:rFonts w:hint="eastAsia" w:ascii="仿宋_GB2312" w:hAnsi="等线" w:eastAsia="仿宋_GB2312" w:cs="仿宋_GB2312"/>
                <w:color w:val="000000"/>
                <w:kern w:val="0"/>
                <w:sz w:val="24"/>
                <w:lang w:val="en-US" w:eastAsia="zh-CN" w:bidi="ar"/>
              </w:rPr>
              <w:t>土木建筑工程学院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水文与水资源工程</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水利水电学院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农业水利工程</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水利水电学院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建筑学</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城市设计学院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药学</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药学院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行政管理</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政治与公共管理学院</w:t>
            </w:r>
          </w:p>
        </w:tc>
      </w:tr>
      <w:tr>
        <w:tblPrEx>
          <w:tblCellMar>
            <w:top w:w="0" w:type="dxa"/>
            <w:left w:w="0" w:type="dxa"/>
            <w:bottom w:w="0" w:type="dxa"/>
            <w:right w:w="0" w:type="dxa"/>
          </w:tblCellMar>
        </w:tblPrEx>
        <w:trPr>
          <w:trHeight w:val="440" w:hRule="exact"/>
          <w:jc w:val="center"/>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rPr>
            </w:pPr>
            <w:r>
              <w:rPr>
                <w:rFonts w:ascii="仿宋_GB2312" w:hAnsi="等线" w:eastAsia="仿宋_GB2312" w:cs="仿宋_GB2312"/>
                <w:color w:val="000000"/>
                <w:kern w:val="0"/>
                <w:sz w:val="24"/>
                <w:lang w:bidi="ar"/>
              </w:rPr>
              <w:t>戏剧影视文学</w:t>
            </w:r>
          </w:p>
        </w:tc>
        <w:tc>
          <w:tcPr>
            <w:tcW w:w="3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kern w:val="2"/>
                <w:sz w:val="24"/>
                <w:szCs w:val="24"/>
                <w:lang w:val="en-US" w:eastAsia="zh-CN" w:bidi="ar-SA"/>
              </w:rPr>
            </w:pPr>
            <w:r>
              <w:rPr>
                <w:rFonts w:hint="eastAsia" w:ascii="仿宋_GB2312" w:hAnsi="等线" w:eastAsia="仿宋_GB2312" w:cs="仿宋_GB2312"/>
                <w:color w:val="000000"/>
                <w:kern w:val="0"/>
                <w:sz w:val="24"/>
                <w:lang w:bidi="ar"/>
              </w:rPr>
              <w:t>艺术学院</w:t>
            </w:r>
          </w:p>
        </w:tc>
      </w:tr>
    </w:tbl>
    <w:p>
      <w:pPr>
        <w:spacing w:line="360" w:lineRule="auto"/>
        <w:ind w:firstLine="562" w:firstLineChars="200"/>
        <w:rPr>
          <w:rFonts w:hint="eastAsia" w:ascii="仿宋_GB2312" w:hAnsi="Times New Roman" w:eastAsia="仿宋_GB2312" w:cs="Times New Roman"/>
          <w:b/>
          <w:bCs/>
          <w:sz w:val="28"/>
          <w:lang w:val="en-US" w:eastAsia="zh-CN"/>
        </w:rPr>
      </w:pPr>
      <w:r>
        <w:rPr>
          <w:rFonts w:hint="eastAsia" w:ascii="仿宋_GB2312" w:hAnsi="Times New Roman" w:eastAsia="仿宋_GB2312" w:cs="Times New Roman"/>
          <w:b/>
          <w:bCs/>
          <w:sz w:val="28"/>
          <w:lang w:val="en-US" w:eastAsia="zh-CN"/>
        </w:rPr>
        <w:t>2.未获批2019年度一流本科专业的卓越工程师专业直接推荐：</w:t>
      </w:r>
    </w:p>
    <w:tbl>
      <w:tblPr>
        <w:tblStyle w:val="2"/>
        <w:tblW w:w="7545" w:type="dxa"/>
        <w:jc w:val="center"/>
        <w:tblLayout w:type="autofit"/>
        <w:tblCellMar>
          <w:top w:w="0" w:type="dxa"/>
          <w:left w:w="0" w:type="dxa"/>
          <w:bottom w:w="0" w:type="dxa"/>
          <w:right w:w="0" w:type="dxa"/>
        </w:tblCellMar>
      </w:tblPr>
      <w:tblGrid>
        <w:gridCol w:w="1067"/>
        <w:gridCol w:w="3146"/>
        <w:gridCol w:w="3332"/>
      </w:tblGrid>
      <w:tr>
        <w:tblPrEx>
          <w:tblCellMar>
            <w:top w:w="0" w:type="dxa"/>
            <w:left w:w="0" w:type="dxa"/>
            <w:bottom w:w="0" w:type="dxa"/>
            <w:right w:w="0" w:type="dxa"/>
          </w:tblCellMar>
        </w:tblPrEx>
        <w:trPr>
          <w:trHeight w:val="375" w:hRule="atLeast"/>
          <w:jc w:val="center"/>
        </w:trPr>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序号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专业名称</w:t>
            </w:r>
          </w:p>
        </w:tc>
        <w:tc>
          <w:tcPr>
            <w:tcW w:w="3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b/>
                <w:color w:val="000000"/>
                <w:kern w:val="2"/>
                <w:sz w:val="28"/>
                <w:szCs w:val="28"/>
                <w:lang w:val="en-US" w:eastAsia="zh-CN" w:bidi="ar-SA"/>
              </w:rPr>
            </w:pPr>
            <w:r>
              <w:rPr>
                <w:rFonts w:hint="eastAsia" w:ascii="黑体" w:hAnsi="宋体" w:eastAsia="黑体" w:cs="黑体"/>
                <w:b/>
                <w:color w:val="000000"/>
                <w:kern w:val="0"/>
                <w:sz w:val="28"/>
                <w:szCs w:val="28"/>
                <w:lang w:val="en-US" w:eastAsia="zh-CN" w:bidi="ar"/>
              </w:rPr>
              <w:t>单位</w:t>
            </w:r>
          </w:p>
        </w:tc>
      </w:tr>
      <w:tr>
        <w:tblPrEx>
          <w:tblCellMar>
            <w:top w:w="0" w:type="dxa"/>
            <w:left w:w="0" w:type="dxa"/>
            <w:bottom w:w="0" w:type="dxa"/>
            <w:right w:w="0" w:type="dxa"/>
          </w:tblCellMar>
        </w:tblPrEx>
        <w:trPr>
          <w:trHeight w:val="440" w:hRule="exact"/>
          <w:jc w:val="center"/>
        </w:trPr>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color w:val="000000"/>
                <w:kern w:val="0"/>
                <w:sz w:val="28"/>
                <w:szCs w:val="28"/>
                <w:lang w:bidi="ar"/>
              </w:rPr>
            </w:pPr>
            <w:r>
              <w:rPr>
                <w:rFonts w:hint="eastAsia" w:ascii="Times New Roman" w:hAnsi="Times New Roman" w:eastAsia="宋体" w:cs="Times New Roman"/>
                <w:i w:val="0"/>
                <w:color w:val="000000"/>
                <w:kern w:val="0"/>
                <w:sz w:val="22"/>
                <w:szCs w:val="22"/>
                <w:u w:val="none"/>
                <w:lang w:val="en-US" w:eastAsia="zh-CN" w:bidi="ar"/>
              </w:rPr>
              <w:t>1</w:t>
            </w:r>
          </w:p>
        </w:tc>
        <w:tc>
          <w:tcPr>
            <w:tcW w:w="3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val="en-US" w:eastAsia="zh-CN" w:bidi="ar"/>
              </w:rPr>
              <w:t>环境工程</w:t>
            </w:r>
          </w:p>
        </w:tc>
        <w:tc>
          <w:tcPr>
            <w:tcW w:w="3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szCs w:val="24"/>
                <w:lang w:val="en-US" w:eastAsia="zh-CN" w:bidi="ar"/>
              </w:rPr>
            </w:pPr>
            <w:r>
              <w:rPr>
                <w:rFonts w:hint="eastAsia" w:ascii="仿宋_GB2312" w:hAnsi="等线" w:eastAsia="仿宋_GB2312" w:cs="仿宋_GB2312"/>
                <w:color w:val="000000"/>
                <w:kern w:val="0"/>
                <w:sz w:val="24"/>
                <w:lang w:val="en-US" w:eastAsia="zh-CN" w:bidi="ar"/>
              </w:rPr>
              <w:t>资源与环境科学学院</w:t>
            </w:r>
          </w:p>
        </w:tc>
      </w:tr>
      <w:tr>
        <w:tblPrEx>
          <w:tblCellMar>
            <w:top w:w="0" w:type="dxa"/>
            <w:left w:w="0" w:type="dxa"/>
            <w:bottom w:w="0" w:type="dxa"/>
            <w:right w:w="0" w:type="dxa"/>
          </w:tblCellMar>
        </w:tblPrEx>
        <w:trPr>
          <w:trHeight w:val="440" w:hRule="exact"/>
          <w:jc w:val="center"/>
        </w:trPr>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color w:val="000000"/>
                <w:kern w:val="0"/>
                <w:sz w:val="28"/>
                <w:szCs w:val="28"/>
                <w:lang w:bidi="ar"/>
              </w:rPr>
            </w:pPr>
            <w:r>
              <w:rPr>
                <w:rFonts w:hint="eastAsia" w:ascii="Times New Roman" w:hAnsi="Times New Roman" w:eastAsia="宋体" w:cs="Times New Roman"/>
                <w:i w:val="0"/>
                <w:color w:val="000000"/>
                <w:kern w:val="0"/>
                <w:sz w:val="22"/>
                <w:szCs w:val="22"/>
                <w:u w:val="none"/>
                <w:lang w:val="en-US" w:eastAsia="zh-CN" w:bidi="ar"/>
              </w:rPr>
              <w:t>2</w:t>
            </w:r>
          </w:p>
        </w:tc>
        <w:tc>
          <w:tcPr>
            <w:tcW w:w="3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val="en-US" w:eastAsia="zh-CN" w:bidi="ar"/>
              </w:rPr>
              <w:t>能源动力系统及自动化</w:t>
            </w:r>
          </w:p>
        </w:tc>
        <w:tc>
          <w:tcPr>
            <w:tcW w:w="3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szCs w:val="24"/>
                <w:lang w:val="en-US" w:eastAsia="zh-CN" w:bidi="ar"/>
              </w:rPr>
            </w:pPr>
            <w:r>
              <w:rPr>
                <w:rFonts w:hint="eastAsia" w:ascii="仿宋_GB2312" w:hAnsi="等线" w:eastAsia="仿宋_GB2312" w:cs="仿宋_GB2312"/>
                <w:color w:val="000000"/>
                <w:kern w:val="0"/>
                <w:sz w:val="24"/>
                <w:lang w:val="en-US" w:eastAsia="zh-CN" w:bidi="ar"/>
              </w:rPr>
              <w:t>动力与机械学院</w:t>
            </w:r>
          </w:p>
        </w:tc>
      </w:tr>
      <w:tr>
        <w:tblPrEx>
          <w:tblCellMar>
            <w:top w:w="0" w:type="dxa"/>
            <w:left w:w="0" w:type="dxa"/>
            <w:bottom w:w="0" w:type="dxa"/>
            <w:right w:w="0" w:type="dxa"/>
          </w:tblCellMar>
        </w:tblPrEx>
        <w:trPr>
          <w:trHeight w:val="440" w:hRule="exact"/>
          <w:jc w:val="center"/>
        </w:trPr>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color w:val="000000"/>
                <w:kern w:val="0"/>
                <w:sz w:val="28"/>
                <w:szCs w:val="28"/>
                <w:lang w:bidi="ar"/>
              </w:rPr>
            </w:pPr>
            <w:r>
              <w:rPr>
                <w:rFonts w:hint="eastAsia" w:ascii="Times New Roman" w:hAnsi="Times New Roman" w:eastAsia="宋体" w:cs="Times New Roman"/>
                <w:i w:val="0"/>
                <w:color w:val="000000"/>
                <w:kern w:val="0"/>
                <w:sz w:val="22"/>
                <w:szCs w:val="22"/>
                <w:u w:val="none"/>
                <w:lang w:val="en-US" w:eastAsia="zh-CN" w:bidi="ar"/>
              </w:rPr>
              <w:t>3</w:t>
            </w:r>
          </w:p>
        </w:tc>
        <w:tc>
          <w:tcPr>
            <w:tcW w:w="3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val="en-US" w:eastAsia="zh-CN" w:bidi="ar"/>
              </w:rPr>
              <w:t>软件工程</w:t>
            </w:r>
          </w:p>
        </w:tc>
        <w:tc>
          <w:tcPr>
            <w:tcW w:w="3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4"/>
                <w:szCs w:val="24"/>
                <w:lang w:val="en-US" w:eastAsia="zh-CN" w:bidi="ar"/>
              </w:rPr>
            </w:pPr>
            <w:r>
              <w:rPr>
                <w:rFonts w:hint="default" w:ascii="仿宋_GB2312" w:hAnsi="等线" w:eastAsia="仿宋_GB2312" w:cs="仿宋_GB2312"/>
                <w:color w:val="000000"/>
                <w:kern w:val="0"/>
                <w:sz w:val="24"/>
                <w:lang w:val="en-US" w:eastAsia="zh-CN" w:bidi="ar"/>
              </w:rPr>
              <w:t>计算机学院</w:t>
            </w:r>
          </w:p>
        </w:tc>
      </w:tr>
    </w:tbl>
    <w:p>
      <w:pPr>
        <w:spacing w:line="360" w:lineRule="auto"/>
        <w:ind w:firstLine="562" w:firstLineChars="200"/>
        <w:rPr>
          <w:rFonts w:ascii="仿宋_GB2312" w:hAnsi="Times New Roman" w:eastAsia="仿宋_GB2312" w:cs="Times New Roman"/>
          <w:sz w:val="28"/>
          <w:szCs w:val="28"/>
        </w:rPr>
      </w:pPr>
      <w:r>
        <w:rPr>
          <w:rFonts w:hint="eastAsia" w:ascii="仿宋_GB2312" w:hAnsi="Times New Roman" w:eastAsia="仿宋_GB2312" w:cs="Times New Roman"/>
          <w:b/>
          <w:bCs/>
          <w:sz w:val="28"/>
          <w:lang w:val="en-US" w:eastAsia="zh-CN"/>
        </w:rPr>
        <w:t>3</w:t>
      </w:r>
      <w:r>
        <w:rPr>
          <w:rFonts w:hint="eastAsia" w:ascii="仿宋_GB2312" w:hAnsi="Times New Roman" w:eastAsia="仿宋_GB2312" w:cs="Times New Roman"/>
          <w:b/>
          <w:bCs/>
          <w:sz w:val="28"/>
        </w:rPr>
        <w:t>.原则上新增并且尚无毕业生的专业以及连续三年未招生的专业今年暂不推荐申报。</w:t>
      </w:r>
    </w:p>
    <w:p>
      <w:pPr>
        <w:numPr>
          <w:ilvl w:val="0"/>
          <w:numId w:val="1"/>
        </w:numPr>
        <w:spacing w:line="360" w:lineRule="auto"/>
        <w:ind w:firstLine="643" w:firstLineChars="200"/>
        <w:rPr>
          <w:rFonts w:hint="eastAsia"/>
          <w:b/>
          <w:sz w:val="32"/>
          <w:szCs w:val="28"/>
          <w:lang w:val="en-US" w:eastAsia="zh-CN"/>
        </w:rPr>
      </w:pPr>
      <w:r>
        <w:rPr>
          <w:rFonts w:hint="eastAsia"/>
          <w:b/>
          <w:sz w:val="32"/>
          <w:szCs w:val="28"/>
          <w:lang w:val="en-US" w:eastAsia="zh-CN"/>
        </w:rPr>
        <w:t>评审程序</w:t>
      </w:r>
    </w:p>
    <w:p>
      <w:pPr>
        <w:spacing w:line="360" w:lineRule="auto"/>
        <w:ind w:firstLine="562" w:firstLineChars="200"/>
        <w:rPr>
          <w:rFonts w:ascii="仿宋_GB2312" w:hAnsi="Times New Roman" w:eastAsia="仿宋_GB2312" w:cs="Times New Roman"/>
          <w:b/>
          <w:bCs/>
          <w:sz w:val="28"/>
        </w:rPr>
      </w:pPr>
      <w:r>
        <w:rPr>
          <w:rFonts w:hint="eastAsia" w:ascii="仿宋_GB2312" w:hAnsi="Times New Roman" w:eastAsia="仿宋_GB2312" w:cs="Times New Roman"/>
          <w:b/>
          <w:bCs/>
          <w:sz w:val="28"/>
          <w:lang w:val="en-US" w:eastAsia="zh-CN"/>
        </w:rPr>
        <w:t>1</w:t>
      </w:r>
      <w:r>
        <w:rPr>
          <w:rFonts w:hint="eastAsia" w:ascii="仿宋_GB2312" w:hAnsi="Times New Roman" w:eastAsia="仿宋_GB2312" w:cs="Times New Roman"/>
          <w:b/>
          <w:bCs/>
          <w:sz w:val="28"/>
        </w:rPr>
        <w:t>.初评：</w:t>
      </w:r>
    </w:p>
    <w:p>
      <w:pPr>
        <w:spacing w:line="360" w:lineRule="auto"/>
        <w:ind w:firstLine="560" w:firstLineChars="2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lang w:eastAsia="zh-CN"/>
        </w:rPr>
        <w:t>）除以上</w:t>
      </w:r>
      <w:r>
        <w:rPr>
          <w:rFonts w:hint="eastAsia" w:ascii="仿宋_GB2312" w:hAnsi="Times New Roman" w:eastAsia="仿宋_GB2312" w:cs="Times New Roman"/>
          <w:sz w:val="28"/>
          <w:szCs w:val="28"/>
          <w:lang w:val="en-US" w:eastAsia="zh-CN"/>
        </w:rPr>
        <w:t>13个</w:t>
      </w:r>
      <w:r>
        <w:rPr>
          <w:rFonts w:hint="eastAsia" w:ascii="仿宋_GB2312" w:hAnsi="Times New Roman" w:eastAsia="仿宋_GB2312" w:cs="Times New Roman"/>
          <w:sz w:val="28"/>
          <w:szCs w:val="28"/>
          <w:lang w:eastAsia="zh-CN"/>
        </w:rPr>
        <w:t>专业外，其余申报专业分</w:t>
      </w:r>
      <w:r>
        <w:rPr>
          <w:rFonts w:hint="eastAsia" w:ascii="仿宋_GB2312" w:hAnsi="Times New Roman" w:eastAsia="仿宋_GB2312" w:cs="Times New Roman"/>
          <w:sz w:val="28"/>
          <w:szCs w:val="28"/>
          <w:lang w:val="en-US" w:eastAsia="zh-CN"/>
        </w:rPr>
        <w:t>为三组</w:t>
      </w:r>
      <w:r>
        <w:rPr>
          <w:rFonts w:hint="eastAsia" w:ascii="仿宋_GB2312" w:hAnsi="Times New Roman" w:eastAsia="仿宋_GB2312" w:cs="Times New Roman"/>
          <w:sz w:val="28"/>
          <w:szCs w:val="28"/>
          <w:lang w:eastAsia="zh-CN"/>
        </w:rPr>
        <w:t>召开</w:t>
      </w:r>
      <w:r>
        <w:rPr>
          <w:rFonts w:hint="eastAsia" w:ascii="仿宋_GB2312" w:hAnsi="Times New Roman" w:eastAsia="仿宋_GB2312" w:cs="Times New Roman"/>
          <w:sz w:val="28"/>
          <w:szCs w:val="28"/>
          <w:lang w:val="en-US" w:eastAsia="zh-CN"/>
        </w:rPr>
        <w:t>初评</w:t>
      </w:r>
      <w:r>
        <w:rPr>
          <w:rFonts w:hint="eastAsia" w:ascii="仿宋_GB2312" w:hAnsi="Times New Roman" w:eastAsia="仿宋_GB2312" w:cs="Times New Roman"/>
          <w:sz w:val="28"/>
          <w:szCs w:val="28"/>
          <w:lang w:eastAsia="zh-CN"/>
        </w:rPr>
        <w:t>会议。</w:t>
      </w:r>
      <w:r>
        <w:rPr>
          <w:rFonts w:hint="eastAsia" w:ascii="仿宋_GB2312" w:hAnsi="Times New Roman" w:eastAsia="仿宋_GB2312" w:cs="Times New Roman"/>
          <w:sz w:val="28"/>
          <w:szCs w:val="28"/>
          <w:lang w:val="en-US" w:eastAsia="zh-CN"/>
        </w:rPr>
        <w:t>人文科学</w:t>
      </w:r>
      <w:r>
        <w:rPr>
          <w:rFonts w:hint="eastAsia" w:ascii="仿宋_GB2312" w:hAnsi="Times New Roman" w:eastAsia="仿宋_GB2312" w:cs="Times New Roman"/>
          <w:sz w:val="28"/>
          <w:szCs w:val="28"/>
        </w:rPr>
        <w:t>学部</w:t>
      </w:r>
      <w:r>
        <w:rPr>
          <w:rFonts w:hint="eastAsia" w:ascii="仿宋_GB2312" w:hAnsi="Times New Roman" w:eastAsia="仿宋_GB2312" w:cs="Times New Roman"/>
          <w:sz w:val="28"/>
          <w:szCs w:val="28"/>
          <w:lang w:val="en-US" w:eastAsia="zh-CN"/>
        </w:rPr>
        <w:t>和社会科学</w:t>
      </w:r>
      <w:r>
        <w:rPr>
          <w:rFonts w:hint="eastAsia" w:ascii="仿宋_GB2312" w:hAnsi="Times New Roman" w:eastAsia="仿宋_GB2312" w:cs="Times New Roman"/>
          <w:sz w:val="28"/>
          <w:szCs w:val="28"/>
        </w:rPr>
        <w:t>学部</w:t>
      </w:r>
      <w:r>
        <w:rPr>
          <w:rFonts w:hint="eastAsia" w:ascii="仿宋_GB2312" w:hAnsi="Times New Roman" w:eastAsia="仿宋_GB2312" w:cs="Times New Roman"/>
          <w:sz w:val="28"/>
          <w:szCs w:val="28"/>
          <w:lang w:val="en-US" w:eastAsia="zh-CN"/>
        </w:rPr>
        <w:t>为第1组，</w:t>
      </w:r>
      <w:r>
        <w:rPr>
          <w:rFonts w:hint="eastAsia" w:ascii="仿宋_GB2312" w:hAnsi="Times New Roman" w:eastAsia="仿宋_GB2312" w:cs="Times New Roman"/>
          <w:sz w:val="28"/>
          <w:szCs w:val="28"/>
        </w:rPr>
        <w:t>理学部</w:t>
      </w:r>
      <w:r>
        <w:rPr>
          <w:rFonts w:hint="eastAsia" w:ascii="仿宋_GB2312" w:hAnsi="Times New Roman" w:eastAsia="仿宋_GB2312" w:cs="Times New Roman"/>
          <w:sz w:val="28"/>
          <w:szCs w:val="28"/>
          <w:lang w:val="en-US" w:eastAsia="zh-CN"/>
        </w:rPr>
        <w:t>和</w:t>
      </w:r>
      <w:r>
        <w:rPr>
          <w:rFonts w:hint="eastAsia" w:ascii="仿宋_GB2312" w:hAnsi="Times New Roman" w:eastAsia="仿宋_GB2312" w:cs="Times New Roman"/>
          <w:sz w:val="28"/>
          <w:szCs w:val="28"/>
        </w:rPr>
        <w:t>医学部</w:t>
      </w:r>
      <w:r>
        <w:rPr>
          <w:rFonts w:hint="eastAsia" w:ascii="仿宋_GB2312" w:hAnsi="Times New Roman" w:eastAsia="仿宋_GB2312" w:cs="Times New Roman"/>
          <w:sz w:val="28"/>
          <w:szCs w:val="28"/>
          <w:lang w:val="en-US" w:eastAsia="zh-CN"/>
        </w:rPr>
        <w:t>为第2组，</w:t>
      </w:r>
      <w:r>
        <w:rPr>
          <w:rFonts w:hint="eastAsia" w:ascii="仿宋_GB2312" w:hAnsi="Times New Roman" w:eastAsia="仿宋_GB2312" w:cs="Times New Roman"/>
          <w:sz w:val="28"/>
          <w:szCs w:val="28"/>
        </w:rPr>
        <w:t>工学部</w:t>
      </w:r>
      <w:r>
        <w:rPr>
          <w:rFonts w:hint="eastAsia" w:ascii="仿宋_GB2312" w:hAnsi="Times New Roman" w:eastAsia="仿宋_GB2312" w:cs="Times New Roman"/>
          <w:sz w:val="28"/>
          <w:szCs w:val="28"/>
          <w:lang w:val="en-US" w:eastAsia="zh-CN"/>
        </w:rPr>
        <w:t>和信息科学</w:t>
      </w:r>
      <w:r>
        <w:rPr>
          <w:rFonts w:hint="eastAsia" w:ascii="仿宋_GB2312" w:hAnsi="Times New Roman" w:eastAsia="仿宋_GB2312" w:cs="Times New Roman"/>
          <w:sz w:val="28"/>
          <w:szCs w:val="28"/>
        </w:rPr>
        <w:t>学部</w:t>
      </w:r>
      <w:r>
        <w:rPr>
          <w:rFonts w:hint="eastAsia" w:ascii="仿宋_GB2312" w:hAnsi="Times New Roman" w:eastAsia="仿宋_GB2312" w:cs="Times New Roman"/>
          <w:sz w:val="28"/>
          <w:szCs w:val="28"/>
          <w:lang w:val="en-US" w:eastAsia="zh-CN"/>
        </w:rPr>
        <w:t>为第3组。</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初评</w:t>
      </w:r>
      <w:r>
        <w:rPr>
          <w:rFonts w:hint="eastAsia" w:ascii="仿宋_GB2312" w:hAnsi="Times New Roman" w:eastAsia="仿宋_GB2312" w:cs="Times New Roman"/>
          <w:sz w:val="28"/>
          <w:szCs w:val="28"/>
        </w:rPr>
        <w:t>会议采取会评的方式，由评委进行排序</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依据</w:t>
      </w:r>
      <w:r>
        <w:rPr>
          <w:rFonts w:ascii="仿宋_GB2312" w:hAnsi="Times New Roman" w:eastAsia="仿宋_GB2312" w:cs="Times New Roman"/>
          <w:sz w:val="28"/>
          <w:szCs w:val="28"/>
        </w:rPr>
        <w:t>排序结果分为</w:t>
      </w:r>
      <w:r>
        <w:rPr>
          <w:rFonts w:hint="eastAsia" w:ascii="仿宋_GB2312" w:hAnsi="Times New Roman" w:eastAsia="仿宋_GB2312" w:cs="Times New Roman"/>
          <w:sz w:val="28"/>
          <w:szCs w:val="28"/>
        </w:rPr>
        <w:t>A、B、C三档。</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（3）评为</w:t>
      </w:r>
      <w:r>
        <w:rPr>
          <w:rFonts w:hint="eastAsia" w:ascii="仿宋_GB2312" w:hAnsi="Times New Roman" w:eastAsia="仿宋_GB2312" w:cs="Times New Roman"/>
          <w:b/>
          <w:bCs/>
          <w:sz w:val="28"/>
          <w:szCs w:val="28"/>
        </w:rPr>
        <w:t>A档</w:t>
      </w:r>
      <w:r>
        <w:rPr>
          <w:rFonts w:ascii="仿宋_GB2312" w:hAnsi="Times New Roman" w:eastAsia="仿宋_GB2312" w:cs="Times New Roman"/>
          <w:b/>
          <w:bCs/>
          <w:sz w:val="28"/>
          <w:szCs w:val="28"/>
        </w:rPr>
        <w:t>专业</w:t>
      </w:r>
      <w:r>
        <w:rPr>
          <w:rFonts w:hint="eastAsia" w:ascii="仿宋_GB2312" w:hAnsi="Times New Roman" w:eastAsia="仿宋_GB2312" w:cs="Times New Roman"/>
          <w:b/>
          <w:bCs/>
          <w:sz w:val="28"/>
          <w:szCs w:val="28"/>
        </w:rPr>
        <w:t>可</w:t>
      </w:r>
      <w:r>
        <w:rPr>
          <w:rFonts w:ascii="仿宋_GB2312" w:hAnsi="Times New Roman" w:eastAsia="仿宋_GB2312" w:cs="Times New Roman"/>
          <w:b/>
          <w:bCs/>
          <w:sz w:val="28"/>
          <w:szCs w:val="28"/>
        </w:rPr>
        <w:t>不经过复评，</w:t>
      </w:r>
      <w:r>
        <w:rPr>
          <w:rFonts w:hint="eastAsia" w:ascii="仿宋_GB2312" w:hAnsi="Times New Roman" w:eastAsia="仿宋_GB2312" w:cs="Times New Roman"/>
          <w:b/>
          <w:bCs/>
          <w:sz w:val="28"/>
          <w:szCs w:val="28"/>
        </w:rPr>
        <w:t>直接推荐</w:t>
      </w:r>
      <w:r>
        <w:rPr>
          <w:rFonts w:hint="eastAsia" w:ascii="仿宋_GB2312" w:hAnsi="Times New Roman" w:eastAsia="仿宋_GB2312" w:cs="Times New Roman"/>
          <w:sz w:val="28"/>
          <w:szCs w:val="28"/>
        </w:rPr>
        <w:t>。A档</w:t>
      </w:r>
      <w:r>
        <w:rPr>
          <w:rFonts w:ascii="仿宋_GB2312" w:hAnsi="Times New Roman" w:eastAsia="仿宋_GB2312" w:cs="Times New Roman"/>
          <w:sz w:val="28"/>
          <w:szCs w:val="28"/>
        </w:rPr>
        <w:t>专业原则上</w:t>
      </w:r>
      <w:r>
        <w:rPr>
          <w:rFonts w:hint="eastAsia" w:ascii="仿宋_GB2312" w:hAnsi="Times New Roman" w:eastAsia="仿宋_GB2312" w:cs="Times New Roman"/>
          <w:sz w:val="28"/>
          <w:szCs w:val="28"/>
        </w:rPr>
        <w:t>数量</w:t>
      </w:r>
      <w:r>
        <w:rPr>
          <w:rFonts w:ascii="仿宋_GB2312" w:hAnsi="Times New Roman" w:eastAsia="仿宋_GB2312" w:cs="Times New Roman"/>
          <w:b/>
          <w:bCs/>
          <w:sz w:val="28"/>
          <w:szCs w:val="28"/>
        </w:rPr>
        <w:t>不超过</w:t>
      </w:r>
      <w:r>
        <w:rPr>
          <w:rFonts w:hint="eastAsia" w:ascii="仿宋_GB2312" w:hAnsi="Times New Roman" w:eastAsia="仿宋_GB2312" w:cs="Times New Roman"/>
          <w:b/>
          <w:bCs/>
          <w:sz w:val="28"/>
          <w:szCs w:val="28"/>
        </w:rPr>
        <w:t>1</w:t>
      </w:r>
      <w:r>
        <w:rPr>
          <w:rFonts w:hint="eastAsia" w:ascii="仿宋_GB2312" w:hAnsi="Times New Roman" w:eastAsia="仿宋_GB2312" w:cs="Times New Roman"/>
          <w:b/>
          <w:bCs/>
          <w:sz w:val="28"/>
          <w:szCs w:val="28"/>
          <w:lang w:val="en-US" w:eastAsia="zh-CN"/>
        </w:rPr>
        <w:t>0</w:t>
      </w:r>
      <w:r>
        <w:rPr>
          <w:rFonts w:hint="eastAsia" w:ascii="仿宋_GB2312" w:hAnsi="Times New Roman" w:eastAsia="仿宋_GB2312" w:cs="Times New Roman"/>
          <w:b/>
          <w:bCs/>
          <w:sz w:val="28"/>
          <w:szCs w:val="28"/>
        </w:rPr>
        <w:t>个</w:t>
      </w:r>
      <w:r>
        <w:rPr>
          <w:rFonts w:hint="eastAsia" w:ascii="仿宋_GB2312" w:hAnsi="Times New Roman" w:eastAsia="仿宋_GB2312" w:cs="Times New Roman"/>
          <w:sz w:val="28"/>
          <w:szCs w:val="28"/>
          <w:lang w:eastAsia="zh-CN"/>
        </w:rPr>
        <w:t>，</w:t>
      </w:r>
      <w:r>
        <w:rPr>
          <w:rFonts w:ascii="仿宋_GB2312" w:hAnsi="Times New Roman" w:eastAsia="仿宋_GB2312" w:cs="Times New Roman"/>
          <w:sz w:val="28"/>
          <w:szCs w:val="28"/>
        </w:rPr>
        <w:t>数量大致如下：</w:t>
      </w:r>
      <w:r>
        <w:rPr>
          <w:rFonts w:hint="eastAsia" w:ascii="仿宋_GB2312" w:hAnsi="Times New Roman" w:eastAsia="仿宋_GB2312" w:cs="Times New Roman"/>
          <w:sz w:val="28"/>
          <w:szCs w:val="28"/>
          <w:lang w:val="en-US" w:eastAsia="zh-CN"/>
        </w:rPr>
        <w:t>第1组4</w:t>
      </w:r>
      <w:r>
        <w:rPr>
          <w:rFonts w:hint="eastAsia" w:ascii="仿宋_GB2312" w:hAnsi="Times New Roman" w:eastAsia="仿宋_GB2312" w:cs="Times New Roman"/>
          <w:sz w:val="28"/>
          <w:szCs w:val="28"/>
        </w:rPr>
        <w:t>个，</w:t>
      </w:r>
      <w:r>
        <w:rPr>
          <w:rFonts w:hint="eastAsia" w:ascii="仿宋_GB2312" w:hAnsi="Times New Roman" w:eastAsia="仿宋_GB2312" w:cs="Times New Roman"/>
          <w:sz w:val="28"/>
          <w:szCs w:val="28"/>
          <w:lang w:val="en-US" w:eastAsia="zh-CN"/>
        </w:rPr>
        <w:t>第2组3</w:t>
      </w:r>
      <w:r>
        <w:rPr>
          <w:rFonts w:hint="eastAsia" w:ascii="仿宋_GB2312" w:hAnsi="Times New Roman" w:eastAsia="仿宋_GB2312" w:cs="Times New Roman"/>
          <w:sz w:val="28"/>
          <w:szCs w:val="28"/>
        </w:rPr>
        <w:t>个，</w:t>
      </w:r>
      <w:r>
        <w:rPr>
          <w:rFonts w:hint="eastAsia" w:ascii="仿宋_GB2312" w:hAnsi="Times New Roman" w:eastAsia="仿宋_GB2312" w:cs="Times New Roman"/>
          <w:sz w:val="28"/>
          <w:szCs w:val="28"/>
          <w:lang w:val="en-US" w:eastAsia="zh-CN"/>
        </w:rPr>
        <w:t>第3组3</w:t>
      </w:r>
      <w:r>
        <w:rPr>
          <w:rFonts w:hint="eastAsia" w:ascii="仿宋_GB2312" w:hAnsi="Times New Roman" w:eastAsia="仿宋_GB2312" w:cs="Times New Roman"/>
          <w:sz w:val="28"/>
          <w:szCs w:val="28"/>
        </w:rPr>
        <w:t>个。</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r>
        <w:rPr>
          <w:rFonts w:ascii="仿宋_GB2312" w:hAnsi="Times New Roman" w:eastAsia="仿宋_GB2312" w:cs="Times New Roman"/>
          <w:sz w:val="28"/>
          <w:szCs w:val="28"/>
        </w:rPr>
        <w:t>评为</w:t>
      </w:r>
      <w:r>
        <w:rPr>
          <w:rFonts w:hint="eastAsia" w:ascii="仿宋_GB2312" w:hAnsi="Times New Roman" w:eastAsia="仿宋_GB2312" w:cs="Times New Roman"/>
          <w:sz w:val="28"/>
          <w:szCs w:val="28"/>
        </w:rPr>
        <w:t>B档专业需</w:t>
      </w:r>
      <w:r>
        <w:rPr>
          <w:rFonts w:hint="eastAsia" w:ascii="仿宋_GB2312" w:hAnsi="Times New Roman" w:eastAsia="仿宋_GB2312" w:cs="Times New Roman"/>
          <w:sz w:val="28"/>
          <w:szCs w:val="28"/>
          <w:lang w:val="en-US" w:eastAsia="zh-CN"/>
        </w:rPr>
        <w:t>进入</w:t>
      </w:r>
      <w:r>
        <w:rPr>
          <w:rFonts w:hint="eastAsia" w:ascii="仿宋_GB2312" w:hAnsi="Times New Roman" w:eastAsia="仿宋_GB2312" w:cs="Times New Roman"/>
          <w:sz w:val="28"/>
          <w:szCs w:val="28"/>
        </w:rPr>
        <w:t>下一轮评审，即</w:t>
      </w:r>
      <w:r>
        <w:rPr>
          <w:rFonts w:ascii="仿宋_GB2312" w:hAnsi="Times New Roman" w:eastAsia="仿宋_GB2312" w:cs="Times New Roman"/>
          <w:sz w:val="28"/>
          <w:szCs w:val="28"/>
        </w:rPr>
        <w:t>复评。</w:t>
      </w:r>
      <w:r>
        <w:rPr>
          <w:rFonts w:hint="eastAsia" w:ascii="仿宋_GB2312" w:hAnsi="Times New Roman" w:eastAsia="仿宋_GB2312" w:cs="Times New Roman"/>
          <w:sz w:val="28"/>
          <w:szCs w:val="28"/>
        </w:rPr>
        <w:t>参加复评</w:t>
      </w:r>
      <w:r>
        <w:rPr>
          <w:rFonts w:ascii="仿宋_GB2312" w:hAnsi="Times New Roman" w:eastAsia="仿宋_GB2312" w:cs="Times New Roman"/>
          <w:sz w:val="28"/>
          <w:szCs w:val="28"/>
        </w:rPr>
        <w:t>的专业</w:t>
      </w:r>
      <w:r>
        <w:rPr>
          <w:rFonts w:hint="eastAsia" w:ascii="仿宋_GB2312" w:hAnsi="Times New Roman" w:eastAsia="仿宋_GB2312" w:cs="Times New Roman"/>
          <w:sz w:val="28"/>
          <w:szCs w:val="28"/>
        </w:rPr>
        <w:t>数量原则</w:t>
      </w:r>
      <w:r>
        <w:rPr>
          <w:rFonts w:ascii="仿宋_GB2312" w:hAnsi="Times New Roman" w:eastAsia="仿宋_GB2312" w:cs="Times New Roman"/>
          <w:sz w:val="28"/>
          <w:szCs w:val="28"/>
        </w:rPr>
        <w:t>上</w:t>
      </w:r>
      <w:r>
        <w:rPr>
          <w:rFonts w:hint="eastAsia" w:ascii="仿宋_GB2312" w:hAnsi="Times New Roman" w:eastAsia="仿宋_GB2312" w:cs="Times New Roman"/>
          <w:sz w:val="28"/>
          <w:szCs w:val="28"/>
        </w:rPr>
        <w:t>不超过</w:t>
      </w:r>
      <w:r>
        <w:rPr>
          <w:rFonts w:hint="eastAsia" w:ascii="仿宋_GB2312" w:hAnsi="Times New Roman" w:eastAsia="仿宋_GB2312" w:cs="Times New Roman"/>
          <w:sz w:val="28"/>
          <w:szCs w:val="28"/>
          <w:lang w:val="en-US" w:eastAsia="zh-CN"/>
        </w:rPr>
        <w:t>20</w:t>
      </w:r>
      <w:r>
        <w:rPr>
          <w:rFonts w:hint="eastAsia" w:ascii="仿宋_GB2312" w:hAnsi="Times New Roman" w:eastAsia="仿宋_GB2312" w:cs="Times New Roman"/>
          <w:sz w:val="28"/>
          <w:szCs w:val="28"/>
        </w:rPr>
        <w:t>个</w:t>
      </w:r>
      <w:r>
        <w:rPr>
          <w:rFonts w:hint="eastAsia" w:ascii="仿宋_GB2312" w:hAnsi="Times New Roman" w:eastAsia="仿宋_GB2312" w:cs="Times New Roman"/>
          <w:sz w:val="28"/>
          <w:szCs w:val="28"/>
          <w:lang w:eastAsia="zh-CN"/>
        </w:rPr>
        <w:t>，</w:t>
      </w:r>
      <w:r>
        <w:rPr>
          <w:rFonts w:ascii="仿宋_GB2312" w:hAnsi="Times New Roman" w:eastAsia="仿宋_GB2312" w:cs="Times New Roman"/>
          <w:sz w:val="28"/>
          <w:szCs w:val="28"/>
        </w:rPr>
        <w:t>数量大致如下：</w:t>
      </w:r>
      <w:r>
        <w:rPr>
          <w:rFonts w:hint="eastAsia" w:ascii="仿宋_GB2312" w:hAnsi="Times New Roman" w:eastAsia="仿宋_GB2312" w:cs="Times New Roman"/>
          <w:sz w:val="28"/>
          <w:szCs w:val="28"/>
          <w:lang w:val="en-US" w:eastAsia="zh-CN"/>
        </w:rPr>
        <w:t>第1组不超过8</w:t>
      </w:r>
      <w:r>
        <w:rPr>
          <w:rFonts w:hint="eastAsia" w:ascii="仿宋_GB2312" w:hAnsi="Times New Roman" w:eastAsia="仿宋_GB2312" w:cs="Times New Roman"/>
          <w:sz w:val="28"/>
          <w:szCs w:val="28"/>
        </w:rPr>
        <w:t>个，</w:t>
      </w:r>
      <w:r>
        <w:rPr>
          <w:rFonts w:hint="eastAsia" w:ascii="仿宋_GB2312" w:hAnsi="Times New Roman" w:eastAsia="仿宋_GB2312" w:cs="Times New Roman"/>
          <w:sz w:val="28"/>
          <w:szCs w:val="28"/>
          <w:lang w:val="en-US" w:eastAsia="zh-CN"/>
        </w:rPr>
        <w:t>第2组不超过6</w:t>
      </w:r>
      <w:r>
        <w:rPr>
          <w:rFonts w:hint="eastAsia" w:ascii="仿宋_GB2312" w:hAnsi="Times New Roman" w:eastAsia="仿宋_GB2312" w:cs="Times New Roman"/>
          <w:sz w:val="28"/>
          <w:szCs w:val="28"/>
        </w:rPr>
        <w:t>个，</w:t>
      </w:r>
      <w:r>
        <w:rPr>
          <w:rFonts w:hint="eastAsia" w:ascii="仿宋_GB2312" w:hAnsi="Times New Roman" w:eastAsia="仿宋_GB2312" w:cs="Times New Roman"/>
          <w:sz w:val="28"/>
          <w:szCs w:val="28"/>
          <w:lang w:val="en-US" w:eastAsia="zh-CN"/>
        </w:rPr>
        <w:t>第3组不超过6</w:t>
      </w:r>
      <w:r>
        <w:rPr>
          <w:rFonts w:hint="eastAsia" w:ascii="仿宋_GB2312" w:hAnsi="Times New Roman" w:eastAsia="仿宋_GB2312" w:cs="Times New Roman"/>
          <w:sz w:val="28"/>
          <w:szCs w:val="28"/>
        </w:rPr>
        <w:t>个。</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5</w:t>
      </w:r>
      <w:r>
        <w:rPr>
          <w:rFonts w:hint="eastAsia" w:ascii="仿宋_GB2312" w:hAnsi="Times New Roman" w:eastAsia="仿宋_GB2312" w:cs="Times New Roman"/>
          <w:sz w:val="28"/>
          <w:szCs w:val="28"/>
        </w:rPr>
        <w:t>）评为C档专业今年</w:t>
      </w:r>
      <w:r>
        <w:rPr>
          <w:rFonts w:ascii="仿宋_GB2312" w:hAnsi="Times New Roman" w:eastAsia="仿宋_GB2312" w:cs="Times New Roman"/>
          <w:sz w:val="28"/>
          <w:szCs w:val="28"/>
        </w:rPr>
        <w:t>暂不</w:t>
      </w:r>
      <w:r>
        <w:rPr>
          <w:rFonts w:hint="eastAsia" w:ascii="仿宋_GB2312" w:hAnsi="Times New Roman" w:eastAsia="仿宋_GB2312" w:cs="Times New Roman"/>
          <w:sz w:val="28"/>
          <w:szCs w:val="28"/>
        </w:rPr>
        <w:t>推荐</w:t>
      </w:r>
      <w:r>
        <w:rPr>
          <w:rFonts w:ascii="仿宋_GB2312" w:hAnsi="Times New Roman" w:eastAsia="仿宋_GB2312" w:cs="Times New Roman"/>
          <w:sz w:val="28"/>
          <w:szCs w:val="28"/>
        </w:rPr>
        <w:t>申报</w:t>
      </w:r>
      <w:r>
        <w:rPr>
          <w:rFonts w:hint="eastAsia" w:ascii="仿宋_GB2312" w:hAnsi="Times New Roman" w:eastAsia="仿宋_GB2312" w:cs="Times New Roman"/>
          <w:sz w:val="28"/>
          <w:szCs w:val="28"/>
        </w:rPr>
        <w:t>。</w:t>
      </w:r>
    </w:p>
    <w:p>
      <w:pPr>
        <w:spacing w:line="360" w:lineRule="auto"/>
        <w:ind w:firstLine="562" w:firstLineChars="200"/>
        <w:rPr>
          <w:rFonts w:ascii="仿宋_GB2312" w:hAnsi="Times New Roman" w:eastAsia="仿宋_GB2312" w:cs="Times New Roman"/>
          <w:b/>
          <w:bCs/>
          <w:sz w:val="28"/>
        </w:rPr>
      </w:pPr>
      <w:r>
        <w:rPr>
          <w:rFonts w:hint="eastAsia" w:ascii="仿宋_GB2312" w:hAnsi="Times New Roman" w:eastAsia="仿宋_GB2312" w:cs="Times New Roman"/>
          <w:b/>
          <w:bCs/>
          <w:sz w:val="28"/>
          <w:lang w:val="en-US" w:eastAsia="zh-CN"/>
        </w:rPr>
        <w:t>2</w:t>
      </w:r>
      <w:r>
        <w:rPr>
          <w:rFonts w:hint="eastAsia" w:ascii="仿宋_GB2312" w:hAnsi="Times New Roman" w:eastAsia="仿宋_GB2312" w:cs="Times New Roman"/>
          <w:b/>
          <w:bCs/>
          <w:sz w:val="28"/>
        </w:rPr>
        <w:t>.复评：</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（1）初评中需要进入下一轮评审的专业，由学校再次组织集中会评。</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（2）集中会评采用申报专业负责人答辩的方式，由评委投票，根据投票结果进行排序。</w:t>
      </w:r>
    </w:p>
    <w:p>
      <w:pPr>
        <w:spacing w:line="360" w:lineRule="auto"/>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w:t>
      </w:r>
      <w:r>
        <w:rPr>
          <w:rFonts w:hint="eastAsia" w:ascii="仿宋_GB2312" w:hAnsi="Times New Roman" w:eastAsia="仿宋_GB2312" w:cs="Times New Roman"/>
          <w:b/>
          <w:bCs/>
          <w:sz w:val="28"/>
          <w:szCs w:val="28"/>
        </w:rPr>
        <w:t>复评中排名前</w:t>
      </w:r>
      <w:r>
        <w:rPr>
          <w:rFonts w:hint="eastAsia" w:ascii="仿宋_GB2312" w:hAnsi="Times New Roman" w:eastAsia="仿宋_GB2312" w:cs="Times New Roman"/>
          <w:b/>
          <w:bCs/>
          <w:sz w:val="28"/>
          <w:szCs w:val="28"/>
          <w:lang w:val="en-US" w:eastAsia="zh-CN"/>
        </w:rPr>
        <w:t>8</w:t>
      </w:r>
      <w:r>
        <w:rPr>
          <w:rFonts w:hint="eastAsia" w:ascii="仿宋_GB2312" w:hAnsi="Times New Roman" w:eastAsia="仿宋_GB2312" w:cs="Times New Roman"/>
          <w:b/>
          <w:bCs/>
          <w:sz w:val="28"/>
          <w:szCs w:val="28"/>
        </w:rPr>
        <w:t>的专业方可</w:t>
      </w:r>
      <w:r>
        <w:rPr>
          <w:rFonts w:ascii="仿宋_GB2312" w:hAnsi="Times New Roman" w:eastAsia="仿宋_GB2312" w:cs="Times New Roman"/>
          <w:b/>
          <w:bCs/>
          <w:sz w:val="28"/>
          <w:szCs w:val="28"/>
        </w:rPr>
        <w:t>推荐申报</w:t>
      </w:r>
      <w:r>
        <w:rPr>
          <w:rFonts w:hint="eastAsia" w:ascii="仿宋_GB2312" w:hAnsi="Times New Roman" w:eastAsia="仿宋_GB2312" w:cs="Times New Roman"/>
          <w:sz w:val="28"/>
          <w:szCs w:val="28"/>
        </w:rPr>
        <w:t>，余下专业暂不推荐申报。</w:t>
      </w:r>
    </w:p>
    <w:p>
      <w:pPr>
        <w:spacing w:line="360" w:lineRule="auto"/>
        <w:ind w:firstLine="560" w:firstLineChars="200"/>
        <w:rPr>
          <w:rFonts w:hint="eastAsia" w:ascii="仿宋_GB2312" w:hAnsi="Times New Roman" w:eastAsia="仿宋_GB2312" w:cs="Times New Roman"/>
          <w:sz w:val="28"/>
          <w:szCs w:val="28"/>
        </w:rPr>
      </w:pPr>
    </w:p>
    <w:p>
      <w:pPr>
        <w:numPr>
          <w:ilvl w:val="0"/>
          <w:numId w:val="1"/>
        </w:numPr>
        <w:spacing w:line="360" w:lineRule="auto"/>
        <w:ind w:firstLine="643" w:firstLineChars="200"/>
        <w:rPr>
          <w:rFonts w:hint="eastAsia"/>
          <w:b/>
          <w:sz w:val="32"/>
          <w:szCs w:val="28"/>
          <w:lang w:val="en-US" w:eastAsia="zh-CN"/>
        </w:rPr>
      </w:pPr>
      <w:r>
        <w:rPr>
          <w:rFonts w:hint="eastAsia"/>
          <w:b/>
          <w:sz w:val="32"/>
          <w:szCs w:val="28"/>
          <w:lang w:val="en-US" w:eastAsia="zh-CN"/>
        </w:rPr>
        <w:t>时间安排</w:t>
      </w:r>
    </w:p>
    <w:p>
      <w:pPr>
        <w:spacing w:line="360" w:lineRule="auto"/>
        <w:ind w:firstLine="560" w:firstLineChars="200"/>
        <w:rPr>
          <w:rFonts w:ascii="仿宋_GB2312" w:eastAsia="仿宋_GB2312"/>
          <w:sz w:val="28"/>
        </w:rPr>
      </w:pPr>
      <w:r>
        <w:rPr>
          <w:rFonts w:hint="eastAsia" w:ascii="仿宋_GB2312" w:eastAsia="仿宋_GB2312"/>
          <w:sz w:val="28"/>
        </w:rPr>
        <w:t>1.</w:t>
      </w:r>
      <w:r>
        <w:rPr>
          <w:rFonts w:hint="eastAsia" w:ascii="仿宋_GB2312" w:hAnsi="宋体" w:eastAsia="仿宋_GB2312"/>
          <w:sz w:val="28"/>
          <w:lang w:val="en-US" w:eastAsia="zh-CN"/>
        </w:rPr>
        <w:t>9</w:t>
      </w:r>
      <w:r>
        <w:rPr>
          <w:rFonts w:hint="eastAsia" w:ascii="仿宋_GB2312" w:hAnsi="宋体" w:eastAsia="仿宋_GB2312"/>
          <w:sz w:val="28"/>
        </w:rPr>
        <w:t>月</w:t>
      </w:r>
      <w:r>
        <w:rPr>
          <w:rFonts w:hint="eastAsia" w:ascii="仿宋_GB2312" w:hAnsi="宋体" w:eastAsia="仿宋_GB2312"/>
          <w:sz w:val="28"/>
          <w:lang w:val="en-US" w:eastAsia="zh-CN"/>
        </w:rPr>
        <w:t>29</w:t>
      </w:r>
      <w:r>
        <w:rPr>
          <w:rFonts w:hint="eastAsia" w:ascii="仿宋_GB2312" w:hAnsi="宋体" w:eastAsia="仿宋_GB2312"/>
          <w:sz w:val="28"/>
        </w:rPr>
        <w:t>日-</w:t>
      </w:r>
      <w:r>
        <w:rPr>
          <w:rFonts w:hint="eastAsia" w:ascii="仿宋_GB2312" w:hAnsi="宋体" w:eastAsia="仿宋_GB2312"/>
          <w:sz w:val="28"/>
          <w:lang w:val="en-US" w:eastAsia="zh-CN"/>
        </w:rPr>
        <w:t>10</w:t>
      </w:r>
      <w:r>
        <w:rPr>
          <w:rFonts w:hint="eastAsia" w:ascii="仿宋_GB2312" w:hAnsi="宋体" w:eastAsia="仿宋_GB2312"/>
          <w:sz w:val="28"/>
        </w:rPr>
        <w:t>月</w:t>
      </w:r>
      <w:r>
        <w:rPr>
          <w:rFonts w:hint="eastAsia" w:ascii="仿宋_GB2312" w:hAnsi="宋体" w:eastAsia="仿宋_GB2312"/>
          <w:sz w:val="28"/>
          <w:lang w:val="en-US" w:eastAsia="zh-CN"/>
        </w:rPr>
        <w:t>12</w:t>
      </w:r>
      <w:r>
        <w:rPr>
          <w:rFonts w:hint="eastAsia" w:ascii="仿宋_GB2312" w:hAnsi="宋体" w:eastAsia="仿宋_GB2312"/>
          <w:sz w:val="28"/>
        </w:rPr>
        <w:t>日 各院系准备申报材料。</w:t>
      </w:r>
    </w:p>
    <w:p>
      <w:pPr>
        <w:spacing w:line="360" w:lineRule="auto"/>
        <w:ind w:firstLine="560" w:firstLineChars="200"/>
        <w:rPr>
          <w:rFonts w:ascii="仿宋_GB2312" w:eastAsia="仿宋_GB2312"/>
          <w:sz w:val="28"/>
        </w:rPr>
      </w:pPr>
      <w:r>
        <w:rPr>
          <w:rFonts w:hint="eastAsia" w:ascii="仿宋_GB2312" w:eastAsia="仿宋_GB2312"/>
          <w:sz w:val="28"/>
        </w:rPr>
        <w:t>2.</w:t>
      </w:r>
      <w:r>
        <w:rPr>
          <w:rFonts w:hint="eastAsia" w:ascii="仿宋_GB2312" w:hAnsi="宋体" w:eastAsia="仿宋_GB2312"/>
          <w:sz w:val="28"/>
          <w:lang w:val="en-US" w:eastAsia="zh-CN"/>
        </w:rPr>
        <w:t>10</w:t>
      </w:r>
      <w:r>
        <w:rPr>
          <w:rFonts w:hint="eastAsia" w:ascii="仿宋_GB2312" w:hAnsi="宋体" w:eastAsia="仿宋_GB2312"/>
          <w:sz w:val="28"/>
        </w:rPr>
        <w:t>月</w:t>
      </w:r>
      <w:r>
        <w:rPr>
          <w:rFonts w:hint="eastAsia" w:ascii="仿宋_GB2312" w:hAnsi="宋体" w:eastAsia="仿宋_GB2312"/>
          <w:sz w:val="28"/>
          <w:lang w:val="en-US" w:eastAsia="zh-CN"/>
        </w:rPr>
        <w:t>13</w:t>
      </w:r>
      <w:r>
        <w:rPr>
          <w:rFonts w:hint="eastAsia" w:ascii="仿宋_GB2312" w:hAnsi="宋体" w:eastAsia="仿宋_GB2312"/>
          <w:sz w:val="28"/>
        </w:rPr>
        <w:t>日-</w:t>
      </w:r>
      <w:r>
        <w:rPr>
          <w:rFonts w:hint="eastAsia" w:ascii="仿宋_GB2312" w:hAnsi="宋体" w:eastAsia="仿宋_GB2312"/>
          <w:sz w:val="28"/>
          <w:lang w:val="en-US" w:eastAsia="zh-CN"/>
        </w:rPr>
        <w:t>10</w:t>
      </w:r>
      <w:r>
        <w:rPr>
          <w:rFonts w:hint="eastAsia" w:ascii="仿宋_GB2312" w:hAnsi="宋体" w:eastAsia="仿宋_GB2312"/>
          <w:sz w:val="28"/>
        </w:rPr>
        <w:t>月</w:t>
      </w:r>
      <w:r>
        <w:rPr>
          <w:rFonts w:hint="eastAsia" w:ascii="仿宋_GB2312" w:hAnsi="宋体" w:eastAsia="仿宋_GB2312"/>
          <w:sz w:val="28"/>
          <w:lang w:val="en-US" w:eastAsia="zh-CN"/>
        </w:rPr>
        <w:t>20</w:t>
      </w:r>
      <w:r>
        <w:rPr>
          <w:rFonts w:hint="eastAsia" w:ascii="仿宋_GB2312" w:hAnsi="宋体" w:eastAsia="仿宋_GB2312"/>
          <w:sz w:val="28"/>
        </w:rPr>
        <w:t>日 初评评审会。</w:t>
      </w:r>
    </w:p>
    <w:p>
      <w:pPr>
        <w:spacing w:line="360" w:lineRule="auto"/>
        <w:ind w:firstLine="560" w:firstLineChars="200"/>
        <w:rPr>
          <w:rFonts w:ascii="仿宋_GB2312" w:eastAsia="仿宋_GB2312"/>
          <w:sz w:val="28"/>
        </w:rPr>
      </w:pPr>
      <w:r>
        <w:rPr>
          <w:rFonts w:hint="eastAsia" w:ascii="仿宋_GB2312" w:eastAsia="仿宋_GB2312"/>
          <w:sz w:val="28"/>
        </w:rPr>
        <w:t>3.</w:t>
      </w:r>
      <w:r>
        <w:rPr>
          <w:rFonts w:hint="eastAsia" w:ascii="仿宋_GB2312" w:hAnsi="宋体" w:eastAsia="仿宋_GB2312"/>
          <w:sz w:val="28"/>
          <w:lang w:val="en-US" w:eastAsia="zh-CN"/>
        </w:rPr>
        <w:t>10</w:t>
      </w:r>
      <w:r>
        <w:rPr>
          <w:rFonts w:hint="eastAsia" w:ascii="仿宋_GB2312" w:hAnsi="宋体" w:eastAsia="仿宋_GB2312"/>
          <w:sz w:val="28"/>
        </w:rPr>
        <w:t>月</w:t>
      </w:r>
      <w:r>
        <w:rPr>
          <w:rFonts w:hint="eastAsia" w:ascii="仿宋_GB2312" w:hAnsi="宋体" w:eastAsia="仿宋_GB2312"/>
          <w:sz w:val="28"/>
          <w:lang w:val="en-US" w:eastAsia="zh-CN"/>
        </w:rPr>
        <w:t>21</w:t>
      </w:r>
      <w:r>
        <w:rPr>
          <w:rFonts w:hint="eastAsia" w:ascii="仿宋_GB2312" w:hAnsi="宋体" w:eastAsia="仿宋_GB2312"/>
          <w:sz w:val="28"/>
        </w:rPr>
        <w:t>日-</w:t>
      </w:r>
      <w:r>
        <w:rPr>
          <w:rFonts w:hint="eastAsia" w:ascii="仿宋_GB2312" w:hAnsi="宋体" w:eastAsia="仿宋_GB2312"/>
          <w:sz w:val="28"/>
          <w:lang w:val="en-US" w:eastAsia="zh-CN"/>
        </w:rPr>
        <w:t>10</w:t>
      </w:r>
      <w:r>
        <w:rPr>
          <w:rFonts w:hint="eastAsia" w:ascii="仿宋_GB2312" w:hAnsi="宋体" w:eastAsia="仿宋_GB2312"/>
          <w:sz w:val="28"/>
        </w:rPr>
        <w:t>月</w:t>
      </w:r>
      <w:r>
        <w:rPr>
          <w:rFonts w:ascii="仿宋_GB2312" w:hAnsi="宋体" w:eastAsia="仿宋_GB2312"/>
          <w:sz w:val="28"/>
        </w:rPr>
        <w:t>2</w:t>
      </w:r>
      <w:r>
        <w:rPr>
          <w:rFonts w:hint="eastAsia" w:ascii="仿宋_GB2312" w:hAnsi="宋体" w:eastAsia="仿宋_GB2312"/>
          <w:sz w:val="28"/>
          <w:lang w:val="en-US" w:eastAsia="zh-CN"/>
        </w:rPr>
        <w:t>3</w:t>
      </w:r>
      <w:r>
        <w:rPr>
          <w:rFonts w:hint="eastAsia" w:ascii="仿宋_GB2312" w:hAnsi="宋体" w:eastAsia="仿宋_GB2312"/>
          <w:sz w:val="28"/>
        </w:rPr>
        <w:t>日 复评答辩评审会。</w:t>
      </w:r>
    </w:p>
    <w:p>
      <w:pPr>
        <w:spacing w:line="360" w:lineRule="auto"/>
        <w:ind w:firstLine="560" w:firstLineChars="200"/>
      </w:pPr>
      <w:r>
        <w:rPr>
          <w:rFonts w:hint="eastAsia" w:ascii="仿宋_GB2312" w:eastAsia="仿宋_GB2312"/>
          <w:sz w:val="28"/>
        </w:rPr>
        <w:t>4.</w:t>
      </w:r>
      <w:r>
        <w:rPr>
          <w:rFonts w:hint="eastAsia" w:ascii="仿宋_GB2312" w:eastAsia="仿宋_GB2312"/>
          <w:sz w:val="28"/>
          <w:lang w:val="en-US" w:eastAsia="zh-CN"/>
        </w:rPr>
        <w:t>10</w:t>
      </w:r>
      <w:r>
        <w:rPr>
          <w:rFonts w:hint="eastAsia" w:ascii="仿宋_GB2312" w:eastAsia="仿宋_GB2312"/>
          <w:sz w:val="28"/>
        </w:rPr>
        <w:t>月</w:t>
      </w:r>
      <w:r>
        <w:rPr>
          <w:rFonts w:ascii="仿宋_GB2312" w:eastAsia="仿宋_GB2312"/>
          <w:sz w:val="28"/>
        </w:rPr>
        <w:t>24</w:t>
      </w:r>
      <w:r>
        <w:rPr>
          <w:rFonts w:hint="eastAsia" w:ascii="仿宋_GB2312" w:eastAsia="仿宋_GB2312"/>
          <w:sz w:val="28"/>
        </w:rPr>
        <w:t>日</w:t>
      </w:r>
      <w:r>
        <w:rPr>
          <w:rFonts w:hint="eastAsia" w:ascii="仿宋_GB2312" w:eastAsia="仿宋_GB2312"/>
          <w:sz w:val="28"/>
          <w:lang w:val="en-US" w:eastAsia="zh-CN"/>
        </w:rPr>
        <w:t>-10月30日 修改完善材料并完成在线报送。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12BC"/>
    <w:multiLevelType w:val="singleLevel"/>
    <w:tmpl w:val="7EED12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16726"/>
    <w:rsid w:val="3D016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2020-10-12T08:17:00Z</dcterms:created>
  <dc:creator>dell</dc:creator>
  <cp:lastModifiedBy>dell</cp:lastModifiedBy>
  <dcterms:modified xsi:type="dcterms:W3CDTF">2020-10-12T08:17:58Z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