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C5" w:rsidRPr="00B54071" w:rsidRDefault="00D82475">
      <w:pPr>
        <w:adjustRightInd w:val="0"/>
        <w:snapToGrid w:val="0"/>
        <w:spacing w:line="312" w:lineRule="auto"/>
        <w:rPr>
          <w:rFonts w:ascii="仿宋" w:eastAsia="仿宋" w:hAnsi="仿宋" w:cs="黑体"/>
          <w:color w:val="333333"/>
          <w:kern w:val="0"/>
          <w:sz w:val="32"/>
          <w:szCs w:val="32"/>
        </w:rPr>
      </w:pPr>
      <w:r w:rsidRPr="00B54071">
        <w:rPr>
          <w:rFonts w:ascii="仿宋" w:eastAsia="仿宋" w:hAnsi="仿宋" w:cs="黑体" w:hint="eastAsia"/>
          <w:color w:val="333333"/>
          <w:kern w:val="0"/>
          <w:sz w:val="32"/>
          <w:szCs w:val="32"/>
        </w:rPr>
        <w:t>附件</w:t>
      </w:r>
      <w:r w:rsidR="00176F68" w:rsidRPr="00B54071">
        <w:rPr>
          <w:rFonts w:ascii="仿宋" w:eastAsia="仿宋" w:hAnsi="仿宋" w:cs="黑体" w:hint="eastAsia"/>
          <w:color w:val="333333"/>
          <w:kern w:val="0"/>
          <w:sz w:val="32"/>
          <w:szCs w:val="32"/>
        </w:rPr>
        <w:t>1</w:t>
      </w:r>
      <w:r w:rsidRPr="00B54071">
        <w:rPr>
          <w:rFonts w:ascii="仿宋" w:eastAsia="仿宋" w:hAnsi="仿宋" w:cs="黑体" w:hint="eastAsia"/>
          <w:color w:val="333333"/>
          <w:kern w:val="0"/>
          <w:sz w:val="32"/>
          <w:szCs w:val="32"/>
        </w:rPr>
        <w:t>：</w:t>
      </w:r>
    </w:p>
    <w:p w:rsidR="009B26A2" w:rsidRDefault="009B26A2" w:rsidP="009B26A2">
      <w:pPr>
        <w:adjustRightInd w:val="0"/>
        <w:snapToGrid w:val="0"/>
        <w:spacing w:line="312" w:lineRule="auto"/>
        <w:jc w:val="center"/>
        <w:rPr>
          <w:rFonts w:ascii="仿宋" w:eastAsia="仿宋" w:hAnsi="仿宋" w:cs="仿宋"/>
          <w:b/>
          <w:bCs/>
          <w:color w:val="333333"/>
          <w:kern w:val="0"/>
          <w:sz w:val="32"/>
          <w:szCs w:val="32"/>
        </w:rPr>
      </w:pPr>
      <w:bookmarkStart w:id="0" w:name="_GoBack"/>
    </w:p>
    <w:p w:rsidR="00B051C5" w:rsidRDefault="00DB166D" w:rsidP="009B26A2">
      <w:pPr>
        <w:adjustRightInd w:val="0"/>
        <w:snapToGrid w:val="0"/>
        <w:spacing w:line="312" w:lineRule="auto"/>
        <w:jc w:val="center"/>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武汉大学</w:t>
      </w:r>
      <w:r w:rsidR="00453388">
        <w:rPr>
          <w:rFonts w:ascii="仿宋" w:eastAsia="仿宋" w:hAnsi="仿宋" w:cs="仿宋" w:hint="eastAsia"/>
          <w:b/>
          <w:bCs/>
          <w:color w:val="333333"/>
          <w:kern w:val="0"/>
          <w:sz w:val="32"/>
          <w:szCs w:val="32"/>
        </w:rPr>
        <w:t>2018年立项</w:t>
      </w:r>
      <w:r w:rsidR="009B26A2" w:rsidRPr="009B26A2">
        <w:rPr>
          <w:rFonts w:ascii="仿宋" w:eastAsia="仿宋" w:hAnsi="仿宋" w:cs="仿宋" w:hint="eastAsia"/>
          <w:b/>
          <w:bCs/>
          <w:color w:val="333333"/>
          <w:kern w:val="0"/>
          <w:sz w:val="32"/>
          <w:szCs w:val="32"/>
        </w:rPr>
        <w:t>信息化类教学研究项目</w:t>
      </w:r>
      <w:r w:rsidR="00D82475">
        <w:rPr>
          <w:rFonts w:ascii="仿宋" w:eastAsia="仿宋" w:hAnsi="仿宋" w:cs="仿宋" w:hint="eastAsia"/>
          <w:b/>
          <w:bCs/>
          <w:color w:val="333333"/>
          <w:kern w:val="0"/>
          <w:sz w:val="32"/>
          <w:szCs w:val="32"/>
        </w:rPr>
        <w:t>中期检查名单</w:t>
      </w:r>
    </w:p>
    <w:p w:rsidR="00A24EA9" w:rsidRPr="00A24EA9" w:rsidRDefault="00A24EA9" w:rsidP="009B26A2">
      <w:pPr>
        <w:adjustRightInd w:val="0"/>
        <w:snapToGrid w:val="0"/>
        <w:spacing w:line="312" w:lineRule="auto"/>
        <w:jc w:val="center"/>
        <w:rPr>
          <w:rFonts w:ascii="仿宋" w:eastAsia="仿宋" w:hAnsi="仿宋" w:cs="仿宋"/>
          <w:b/>
          <w:bCs/>
          <w:color w:val="333333"/>
          <w:kern w:val="0"/>
          <w:sz w:val="18"/>
          <w:szCs w:val="18"/>
        </w:rPr>
      </w:pPr>
    </w:p>
    <w:tbl>
      <w:tblPr>
        <w:tblStyle w:val="a3"/>
        <w:tblW w:w="9416" w:type="dxa"/>
        <w:jc w:val="center"/>
        <w:tblLayout w:type="fixed"/>
        <w:tblLook w:val="04A0"/>
      </w:tblPr>
      <w:tblGrid>
        <w:gridCol w:w="911"/>
        <w:gridCol w:w="1465"/>
        <w:gridCol w:w="4063"/>
        <w:gridCol w:w="1276"/>
        <w:gridCol w:w="992"/>
        <w:gridCol w:w="709"/>
      </w:tblGrid>
      <w:tr w:rsidR="00453388" w:rsidTr="000C7B4C">
        <w:trPr>
          <w:trHeight w:val="490"/>
          <w:jc w:val="center"/>
        </w:trPr>
        <w:tc>
          <w:tcPr>
            <w:tcW w:w="911" w:type="dxa"/>
            <w:vAlign w:val="center"/>
          </w:tcPr>
          <w:bookmarkEnd w:id="0"/>
          <w:p w:rsidR="00453388" w:rsidRDefault="00453388" w:rsidP="00453388">
            <w:pPr>
              <w:jc w:val="center"/>
              <w:rPr>
                <w:rFonts w:ascii="仿宋" w:eastAsia="仿宋" w:hAnsi="仿宋" w:cs="仿宋"/>
                <w:sz w:val="24"/>
                <w:szCs w:val="24"/>
              </w:rPr>
            </w:pPr>
            <w:r>
              <w:rPr>
                <w:rFonts w:ascii="仿宋" w:eastAsia="仿宋" w:hAnsi="仿宋" w:cs="仿宋" w:hint="eastAsia"/>
                <w:b/>
                <w:bCs/>
                <w:sz w:val="24"/>
                <w:szCs w:val="24"/>
              </w:rPr>
              <w:t>序 号</w:t>
            </w:r>
          </w:p>
        </w:tc>
        <w:tc>
          <w:tcPr>
            <w:tcW w:w="1465" w:type="dxa"/>
            <w:vAlign w:val="center"/>
          </w:tcPr>
          <w:p w:rsidR="00453388" w:rsidRDefault="00453388" w:rsidP="00453388">
            <w:pPr>
              <w:jc w:val="center"/>
              <w:rPr>
                <w:rFonts w:ascii="仿宋" w:eastAsia="仿宋" w:hAnsi="仿宋" w:cs="仿宋"/>
                <w:sz w:val="24"/>
                <w:szCs w:val="24"/>
              </w:rPr>
            </w:pPr>
            <w:r>
              <w:rPr>
                <w:rFonts w:ascii="仿宋" w:eastAsia="仿宋" w:hAnsi="仿宋" w:cs="仿宋" w:hint="eastAsia"/>
                <w:b/>
                <w:bCs/>
                <w:sz w:val="24"/>
                <w:szCs w:val="24"/>
              </w:rPr>
              <w:t>学  院</w:t>
            </w:r>
          </w:p>
        </w:tc>
        <w:tc>
          <w:tcPr>
            <w:tcW w:w="4063" w:type="dxa"/>
            <w:vAlign w:val="center"/>
          </w:tcPr>
          <w:p w:rsidR="00453388" w:rsidRDefault="00453388" w:rsidP="00453388">
            <w:pPr>
              <w:jc w:val="center"/>
              <w:rPr>
                <w:rFonts w:ascii="仿宋" w:eastAsia="仿宋" w:hAnsi="仿宋" w:cs="仿宋"/>
                <w:sz w:val="24"/>
                <w:szCs w:val="24"/>
              </w:rPr>
            </w:pPr>
            <w:r>
              <w:rPr>
                <w:rFonts w:ascii="仿宋" w:eastAsia="仿宋" w:hAnsi="仿宋" w:cs="仿宋" w:hint="eastAsia"/>
                <w:b/>
                <w:bCs/>
                <w:sz w:val="24"/>
                <w:szCs w:val="24"/>
              </w:rPr>
              <w:t>项目名称</w:t>
            </w:r>
          </w:p>
        </w:tc>
        <w:tc>
          <w:tcPr>
            <w:tcW w:w="1276" w:type="dxa"/>
            <w:vAlign w:val="center"/>
          </w:tcPr>
          <w:p w:rsidR="00453388" w:rsidRDefault="00453388" w:rsidP="00453388">
            <w:pPr>
              <w:jc w:val="center"/>
              <w:rPr>
                <w:rFonts w:ascii="仿宋" w:eastAsia="仿宋" w:hAnsi="仿宋" w:cs="仿宋"/>
                <w:b/>
                <w:bCs/>
                <w:sz w:val="24"/>
                <w:szCs w:val="24"/>
              </w:rPr>
            </w:pPr>
            <w:r>
              <w:rPr>
                <w:rFonts w:ascii="仿宋" w:eastAsia="仿宋" w:hAnsi="仿宋" w:cs="仿宋" w:hint="eastAsia"/>
                <w:b/>
                <w:bCs/>
                <w:sz w:val="24"/>
                <w:szCs w:val="24"/>
              </w:rPr>
              <w:t>立项时间</w:t>
            </w:r>
          </w:p>
        </w:tc>
        <w:tc>
          <w:tcPr>
            <w:tcW w:w="992" w:type="dxa"/>
            <w:vAlign w:val="center"/>
          </w:tcPr>
          <w:p w:rsidR="00453388" w:rsidRDefault="00453388" w:rsidP="00453388">
            <w:pPr>
              <w:jc w:val="center"/>
              <w:rPr>
                <w:rFonts w:ascii="仿宋" w:eastAsia="仿宋" w:hAnsi="仿宋" w:cs="仿宋"/>
                <w:sz w:val="24"/>
                <w:szCs w:val="24"/>
              </w:rPr>
            </w:pPr>
            <w:r>
              <w:rPr>
                <w:rFonts w:ascii="仿宋" w:eastAsia="仿宋" w:hAnsi="仿宋" w:cs="仿宋" w:hint="eastAsia"/>
                <w:b/>
                <w:bCs/>
                <w:sz w:val="24"/>
                <w:szCs w:val="24"/>
              </w:rPr>
              <w:t>负责人</w:t>
            </w:r>
          </w:p>
        </w:tc>
        <w:tc>
          <w:tcPr>
            <w:tcW w:w="709" w:type="dxa"/>
            <w:vAlign w:val="center"/>
          </w:tcPr>
          <w:p w:rsidR="00453388" w:rsidRDefault="00453388" w:rsidP="00453388">
            <w:pPr>
              <w:jc w:val="center"/>
              <w:rPr>
                <w:rFonts w:ascii="仿宋" w:eastAsia="仿宋" w:hAnsi="仿宋" w:cs="宋体"/>
                <w:b/>
                <w:bCs/>
                <w:sz w:val="24"/>
                <w:szCs w:val="24"/>
              </w:rPr>
            </w:pPr>
            <w:r>
              <w:rPr>
                <w:rFonts w:ascii="仿宋" w:eastAsia="仿宋" w:hAnsi="仿宋" w:hint="eastAsia"/>
                <w:b/>
                <w:bCs/>
              </w:rPr>
              <w:t>备注</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p>
        </w:tc>
        <w:tc>
          <w:tcPr>
            <w:tcW w:w="1465"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文学院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基于慕课的《世界华文文学经典欣赏》混合式教学模式研究</w:t>
            </w:r>
          </w:p>
        </w:tc>
        <w:tc>
          <w:tcPr>
            <w:tcW w:w="1276" w:type="dxa"/>
            <w:shd w:val="clear" w:color="auto" w:fill="auto"/>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赵小琪</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1465"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新闻与传播学院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基于游戏化思维的媒介技术类课程混合式教学设计研究</w:t>
            </w:r>
          </w:p>
        </w:tc>
        <w:tc>
          <w:tcPr>
            <w:tcW w:w="1276" w:type="dxa"/>
            <w:shd w:val="clear" w:color="auto" w:fill="auto"/>
            <w:vAlign w:val="center"/>
          </w:tcPr>
          <w:p w:rsidR="00453388" w:rsidRDefault="00453388" w:rsidP="000C7B4C">
            <w:pPr>
              <w:widowControl/>
              <w:jc w:val="center"/>
              <w:textAlignment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王朝阳</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经济与管理学院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基于对分课堂的专业课程教学方法研究：以《固定收益证券》课程为例</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胡利琴</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4</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经济与管理学院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数字化课堂资源建设与利用研究：以《市场营销》微助教课堂为例</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桂世河</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经济与管理学院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大学生创新思维培养机制研究--教学信息化的视角</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刘艳</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w:t>
            </w:r>
          </w:p>
        </w:tc>
        <w:tc>
          <w:tcPr>
            <w:tcW w:w="1465"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经济与管理学院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翻转课堂教学模式下的实时案例教学在《国际金融实务》课程中的运用研究</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杨勇</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w:t>
            </w:r>
          </w:p>
        </w:tc>
        <w:tc>
          <w:tcPr>
            <w:tcW w:w="1465"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法学院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混合式教学模式下《竞争法学》数字化案例库建设及应用问题研究</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周围</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8</w:t>
            </w:r>
          </w:p>
        </w:tc>
        <w:tc>
          <w:tcPr>
            <w:tcW w:w="1465"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政治与公共管理学院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基于“雨课堂”的混合教学模式应用及效果评估——以《行政管理案例分析》课程为例</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上官莉娜</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9</w:t>
            </w:r>
          </w:p>
        </w:tc>
        <w:tc>
          <w:tcPr>
            <w:tcW w:w="1465"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政治与公共管理学院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信息化背景下以学生为主体的政治学与公共管理专业教学活动设计研究</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田蕴祥</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10</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信息管理学院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社科类教材语义出版与增强显示系统设计与 实现--以《中外档案事业》教材为例</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程齐凯</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11</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数学与统计学院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混合式教学与翻转课堂教学模式在“高等代数与解析几何”课程中的实践</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王茂发</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12</w:t>
            </w:r>
          </w:p>
        </w:tc>
        <w:tc>
          <w:tcPr>
            <w:tcW w:w="1465"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数学与统计学院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大数据技术在《数学分析》教学辅助中的应用</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陈文艺</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w:t>
            </w:r>
          </w:p>
        </w:tc>
        <w:tc>
          <w:tcPr>
            <w:tcW w:w="1465"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数学与统计学院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理工科《高等数学》自主学习数字化资源系统构建的研究与实践</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湛少锋</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14</w:t>
            </w:r>
          </w:p>
        </w:tc>
        <w:tc>
          <w:tcPr>
            <w:tcW w:w="1465"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物理科学与技术学院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手写笔记本电脑在信息化教学中的作用与比较研究</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贾俊基</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15</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资源与环境科学学院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《中国文化地理》翻转课堂教学模式研究</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钟赛香</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16</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资源与环境科学学院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《地图投影》混合式教学平台建设</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李连营</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9B26A2"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17</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动力与机械学院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基于在线实验平台的自动化类课程教学方法研究</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胡文山</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18</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动力与机械学院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基于智能手机的虚拟实验平台及其在理论课堂教学中的应用研究</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蔡林</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Pr="007B652F" w:rsidRDefault="00453388" w:rsidP="00453388">
            <w:pPr>
              <w:widowControl/>
              <w:jc w:val="center"/>
              <w:textAlignment w:val="center"/>
              <w:rPr>
                <w:rFonts w:ascii="仿宋" w:eastAsia="仿宋" w:hAnsi="仿宋" w:cs="仿宋"/>
                <w:kern w:val="0"/>
                <w:sz w:val="24"/>
                <w:szCs w:val="24"/>
              </w:rPr>
            </w:pPr>
            <w:r w:rsidRPr="007B652F">
              <w:rPr>
                <w:rFonts w:ascii="仿宋" w:eastAsia="仿宋" w:hAnsi="仿宋" w:cs="仿宋" w:hint="eastAsia"/>
                <w:kern w:val="0"/>
                <w:sz w:val="24"/>
                <w:szCs w:val="24"/>
              </w:rPr>
              <w:t>19</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土木建筑工程学院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VR/AR技术在《建设工程项目管理》课程的应用</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汪洋</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Pr="007B652F" w:rsidRDefault="00453388" w:rsidP="00453388">
            <w:pPr>
              <w:widowControl/>
              <w:jc w:val="center"/>
              <w:textAlignment w:val="center"/>
              <w:rPr>
                <w:rFonts w:ascii="仿宋" w:eastAsia="仿宋" w:hAnsi="仿宋" w:cs="仿宋"/>
                <w:kern w:val="0"/>
                <w:sz w:val="24"/>
                <w:szCs w:val="24"/>
              </w:rPr>
            </w:pPr>
            <w:r w:rsidRPr="007B652F">
              <w:rPr>
                <w:rFonts w:ascii="仿宋" w:eastAsia="仿宋" w:hAnsi="仿宋" w:cs="仿宋" w:hint="eastAsia"/>
                <w:kern w:val="0"/>
                <w:sz w:val="24"/>
                <w:szCs w:val="24"/>
              </w:rPr>
              <w:t>20</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计算机学院</w:t>
            </w:r>
          </w:p>
        </w:tc>
        <w:tc>
          <w:tcPr>
            <w:tcW w:w="4063" w:type="dxa"/>
            <w:shd w:val="clear" w:color="auto" w:fill="auto"/>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基于微信公众平台的翻转课堂教学实践研究</w:t>
            </w:r>
          </w:p>
        </w:tc>
        <w:tc>
          <w:tcPr>
            <w:tcW w:w="1276" w:type="dxa"/>
            <w:shd w:val="clear" w:color="auto" w:fill="auto"/>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shd w:val="clear" w:color="auto" w:fill="auto"/>
            <w:vAlign w:val="center"/>
          </w:tcPr>
          <w:p w:rsidR="00453388" w:rsidRDefault="00453388" w:rsidP="005611EC">
            <w:pPr>
              <w:jc w:val="center"/>
              <w:rPr>
                <w:rFonts w:ascii="仿宋" w:eastAsia="仿宋" w:hAnsi="仿宋" w:cs="宋体"/>
                <w:sz w:val="24"/>
                <w:szCs w:val="24"/>
              </w:rPr>
            </w:pPr>
            <w:r>
              <w:rPr>
                <w:rFonts w:ascii="仿宋" w:eastAsia="仿宋" w:hAnsi="仿宋" w:hint="eastAsia"/>
              </w:rPr>
              <w:t>刘浩文</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21</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计算机学院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基于通识教育的“程序设计思维”混合式教学研究</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高建华</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22</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国家网络安全学院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信息安全数学基础翻转课堂教学模式研究</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唐明</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23</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遥感信息工程学院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利用MOOC与混合式教学实现产赛教融合</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孟小亮</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24</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遥感信息工程学院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中国大学数字图像处理MOOC+翻转课堂教学的研究与实践</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贾永红</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25</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遥感信息工程学院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“一带一路”背景下遥感实验课程教学的翻转课堂模式设计与研究</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李爽</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26</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遥感信息工程学院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“互联网 ”视域下学生学习过程管理与结果评价若干事务的流程再造和实现</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高卫松</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27</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印刷与包装系</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基于翻转课堂的《印刷材料》混合式教学研究</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周奕华</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28</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印刷与包装系</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基于混合式（SPOC+ FCM）教学模式的《中国美术简史》通识课程信息化研究与实施</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高智勇</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29</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基础医学院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生物安全BSL-4虚拟仿真实验</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武军驻</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30</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基础医学院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翻转课堂教学模式在《医学免疫学》教学中的应用及效果评价</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潘勤</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31</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药学院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药物分析实验“翻转课堂”教学模式研究</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梁淑彩</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32</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第一临床学院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翻转课堂教学模式在CPPT讨论课教学中的实践研究</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戴雯玲</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33</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第一临床学院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混合式教学模式下的急危重症临床实践核心课程建设探讨</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王蕊</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34</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第二临床学院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医学专业英语微视频课程建设</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涂建成</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35</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第二临床学院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基于院内网的远程教学平台建设</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杨琨</w:t>
            </w:r>
          </w:p>
        </w:tc>
        <w:tc>
          <w:tcPr>
            <w:tcW w:w="709" w:type="dxa"/>
            <w:vAlign w:val="center"/>
          </w:tcPr>
          <w:p w:rsidR="00453388" w:rsidRDefault="00453388" w:rsidP="005611EC">
            <w:pPr>
              <w:jc w:val="center"/>
              <w:rPr>
                <w:rFonts w:ascii="仿宋" w:eastAsia="仿宋" w:hAnsi="仿宋" w:cs="宋体"/>
                <w:sz w:val="24"/>
                <w:szCs w:val="24"/>
              </w:rPr>
            </w:pP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36</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口腔医学院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利用BrainLab系统建立口腔颌面外科手术导航数据库，培养口腔医学高水平人才</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杨荣涛</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37</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口腔医学院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AR口腔解剖生理学人体教学模型建立的初步研究</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邵喆</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r w:rsidR="00453388" w:rsidTr="005611EC">
        <w:trPr>
          <w:trHeight w:val="567"/>
          <w:jc w:val="center"/>
        </w:trPr>
        <w:tc>
          <w:tcPr>
            <w:tcW w:w="911" w:type="dxa"/>
            <w:vAlign w:val="center"/>
          </w:tcPr>
          <w:p w:rsidR="00453388" w:rsidRDefault="00453388" w:rsidP="00453388">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38</w:t>
            </w:r>
          </w:p>
        </w:tc>
        <w:tc>
          <w:tcPr>
            <w:tcW w:w="1465"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国际教育学院</w:t>
            </w:r>
          </w:p>
        </w:tc>
        <w:tc>
          <w:tcPr>
            <w:tcW w:w="4063" w:type="dxa"/>
            <w:vAlign w:val="center"/>
          </w:tcPr>
          <w:p w:rsidR="00453388" w:rsidRDefault="00453388" w:rsidP="00453388">
            <w:pPr>
              <w:jc w:val="center"/>
              <w:rPr>
                <w:rFonts w:ascii="仿宋" w:eastAsia="仿宋" w:hAnsi="仿宋" w:cs="宋体"/>
                <w:sz w:val="24"/>
                <w:szCs w:val="24"/>
              </w:rPr>
            </w:pPr>
            <w:r>
              <w:rPr>
                <w:rFonts w:ascii="仿宋" w:eastAsia="仿宋" w:hAnsi="仿宋" w:hint="eastAsia"/>
              </w:rPr>
              <w:t>高级汉语混合式教学模式研究</w:t>
            </w:r>
          </w:p>
        </w:tc>
        <w:tc>
          <w:tcPr>
            <w:tcW w:w="1276" w:type="dxa"/>
            <w:vAlign w:val="center"/>
          </w:tcPr>
          <w:p w:rsidR="00453388" w:rsidRDefault="00453388" w:rsidP="000C7B4C">
            <w:pPr>
              <w:jc w:val="center"/>
            </w:pPr>
            <w:r w:rsidRPr="00DE4F8D">
              <w:rPr>
                <w:rFonts w:ascii="仿宋" w:eastAsia="仿宋" w:hAnsi="仿宋" w:cs="仿宋" w:hint="eastAsia"/>
                <w:color w:val="000000"/>
                <w:kern w:val="0"/>
                <w:sz w:val="24"/>
                <w:szCs w:val="24"/>
              </w:rPr>
              <w:t>2018年</w:t>
            </w:r>
          </w:p>
        </w:tc>
        <w:tc>
          <w:tcPr>
            <w:tcW w:w="992" w:type="dxa"/>
            <w:vAlign w:val="center"/>
          </w:tcPr>
          <w:p w:rsidR="00453388" w:rsidRPr="005611EC" w:rsidRDefault="00453388" w:rsidP="005611EC">
            <w:pPr>
              <w:jc w:val="center"/>
              <w:rPr>
                <w:rFonts w:ascii="仿宋" w:eastAsia="仿宋" w:hAnsi="仿宋" w:cs="宋体"/>
                <w:sz w:val="24"/>
                <w:szCs w:val="24"/>
              </w:rPr>
            </w:pPr>
            <w:r>
              <w:rPr>
                <w:rFonts w:ascii="仿宋" w:eastAsia="仿宋" w:hAnsi="仿宋" w:hint="eastAsia"/>
              </w:rPr>
              <w:t>熊莉</w:t>
            </w:r>
          </w:p>
        </w:tc>
        <w:tc>
          <w:tcPr>
            <w:tcW w:w="709" w:type="dxa"/>
            <w:vAlign w:val="center"/>
          </w:tcPr>
          <w:p w:rsidR="00453388" w:rsidRDefault="00453388" w:rsidP="005611EC">
            <w:pPr>
              <w:jc w:val="center"/>
              <w:rPr>
                <w:rFonts w:ascii="仿宋" w:eastAsia="仿宋" w:hAnsi="仿宋" w:cs="宋体"/>
                <w:sz w:val="24"/>
                <w:szCs w:val="24"/>
              </w:rPr>
            </w:pPr>
            <w:r>
              <w:rPr>
                <w:rFonts w:ascii="仿宋" w:eastAsia="仿宋" w:hAnsi="仿宋" w:hint="eastAsia"/>
              </w:rPr>
              <w:t>经费自筹</w:t>
            </w:r>
          </w:p>
        </w:tc>
      </w:tr>
    </w:tbl>
    <w:p w:rsidR="00B051C5" w:rsidRDefault="00B051C5" w:rsidP="00453388">
      <w:pPr>
        <w:jc w:val="center"/>
      </w:pPr>
    </w:p>
    <w:p w:rsidR="009B26A2" w:rsidRDefault="009B26A2" w:rsidP="00453388">
      <w:pPr>
        <w:jc w:val="center"/>
      </w:pPr>
    </w:p>
    <w:sectPr w:rsidR="009B26A2" w:rsidSect="00B051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4FE" w:rsidRDefault="007004FE" w:rsidP="00464135">
      <w:r>
        <w:separator/>
      </w:r>
    </w:p>
  </w:endnote>
  <w:endnote w:type="continuationSeparator" w:id="1">
    <w:p w:rsidR="007004FE" w:rsidRDefault="007004FE" w:rsidP="00464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4FE" w:rsidRDefault="007004FE" w:rsidP="00464135">
      <w:r>
        <w:separator/>
      </w:r>
    </w:p>
  </w:footnote>
  <w:footnote w:type="continuationSeparator" w:id="1">
    <w:p w:rsidR="007004FE" w:rsidRDefault="007004FE" w:rsidP="00464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51C5"/>
    <w:rsid w:val="000C7B4C"/>
    <w:rsid w:val="00176F68"/>
    <w:rsid w:val="001F114A"/>
    <w:rsid w:val="00422555"/>
    <w:rsid w:val="0043777C"/>
    <w:rsid w:val="00453388"/>
    <w:rsid w:val="00464135"/>
    <w:rsid w:val="005611EC"/>
    <w:rsid w:val="005C3C66"/>
    <w:rsid w:val="0063297C"/>
    <w:rsid w:val="006B3236"/>
    <w:rsid w:val="007004FE"/>
    <w:rsid w:val="00722B71"/>
    <w:rsid w:val="007275A1"/>
    <w:rsid w:val="007B652F"/>
    <w:rsid w:val="008742F1"/>
    <w:rsid w:val="008850E7"/>
    <w:rsid w:val="009B26A2"/>
    <w:rsid w:val="00A24EA9"/>
    <w:rsid w:val="00B051C5"/>
    <w:rsid w:val="00B54071"/>
    <w:rsid w:val="00BE2514"/>
    <w:rsid w:val="00BE6D04"/>
    <w:rsid w:val="00D82475"/>
    <w:rsid w:val="00DB166D"/>
    <w:rsid w:val="00E274BF"/>
    <w:rsid w:val="00EC739E"/>
    <w:rsid w:val="00F6147B"/>
    <w:rsid w:val="00FC1A9D"/>
    <w:rsid w:val="53FB1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6A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51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64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64135"/>
    <w:rPr>
      <w:rFonts w:ascii="Calibri" w:eastAsia="宋体" w:hAnsi="Calibri" w:cs="Times New Roman"/>
      <w:kern w:val="2"/>
      <w:sz w:val="18"/>
      <w:szCs w:val="18"/>
    </w:rPr>
  </w:style>
  <w:style w:type="paragraph" w:styleId="a5">
    <w:name w:val="footer"/>
    <w:basedOn w:val="a"/>
    <w:link w:val="Char0"/>
    <w:rsid w:val="00464135"/>
    <w:pPr>
      <w:tabs>
        <w:tab w:val="center" w:pos="4153"/>
        <w:tab w:val="right" w:pos="8306"/>
      </w:tabs>
      <w:snapToGrid w:val="0"/>
      <w:jc w:val="left"/>
    </w:pPr>
    <w:rPr>
      <w:sz w:val="18"/>
      <w:szCs w:val="18"/>
    </w:rPr>
  </w:style>
  <w:style w:type="character" w:customStyle="1" w:styleId="Char0">
    <w:name w:val="页脚 Char"/>
    <w:basedOn w:val="a0"/>
    <w:link w:val="a5"/>
    <w:rsid w:val="0046413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28813221">
      <w:bodyDiv w:val="1"/>
      <w:marLeft w:val="0"/>
      <w:marRight w:val="0"/>
      <w:marTop w:val="0"/>
      <w:marBottom w:val="0"/>
      <w:divBdr>
        <w:top w:val="none" w:sz="0" w:space="0" w:color="auto"/>
        <w:left w:val="none" w:sz="0" w:space="0" w:color="auto"/>
        <w:bottom w:val="none" w:sz="0" w:space="0" w:color="auto"/>
        <w:right w:val="none" w:sz="0" w:space="0" w:color="auto"/>
      </w:divBdr>
    </w:div>
    <w:div w:id="1082220866">
      <w:bodyDiv w:val="1"/>
      <w:marLeft w:val="0"/>
      <w:marRight w:val="0"/>
      <w:marTop w:val="0"/>
      <w:marBottom w:val="0"/>
      <w:divBdr>
        <w:top w:val="none" w:sz="0" w:space="0" w:color="auto"/>
        <w:left w:val="none" w:sz="0" w:space="0" w:color="auto"/>
        <w:bottom w:val="none" w:sz="0" w:space="0" w:color="auto"/>
        <w:right w:val="none" w:sz="0" w:space="0" w:color="auto"/>
      </w:divBdr>
    </w:div>
    <w:div w:id="1394351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单晓欣</cp:lastModifiedBy>
  <cp:revision>4</cp:revision>
  <dcterms:created xsi:type="dcterms:W3CDTF">2019-06-13T02:55:00Z</dcterms:created>
  <dcterms:modified xsi:type="dcterms:W3CDTF">2019-06-14T01:12:00Z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