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4</w:t>
      </w:r>
    </w:p>
    <w:p>
      <w:pPr>
        <w:tabs>
          <w:tab w:val="left" w:pos="1187"/>
        </w:tabs>
        <w:jc w:val="center"/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</w:pPr>
    </w:p>
    <w:p>
      <w:pPr>
        <w:tabs>
          <w:tab w:val="left" w:pos="1187"/>
        </w:tabs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val="en-US" w:eastAsia="zh-CN"/>
        </w:rPr>
        <w:t>支撑材料说明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武大通识3.0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期满考核支撑材料包含但不限于：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课程资源库建设情况，含资源库链接及截图；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课程团队已出版的配套教材封面及版权页，或课程完整讲义；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课程团队以第一作者身份发表的教学研究论文所在期刊封面、目录及论文全文。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C145A0"/>
    <w:multiLevelType w:val="singleLevel"/>
    <w:tmpl w:val="D3C145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F7E8B"/>
    <w:rsid w:val="4765617C"/>
    <w:rsid w:val="778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2021-09-16T02:46:00Z</dcterms:created>
  <dc:creator>黄舒</dc:creator>
  <cp:lastModifiedBy>黄舒</cp:lastModifiedBy>
  <dcterms:modified xsi:type="dcterms:W3CDTF">2021-09-16T02:54:05Z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86737DECFB8447029E3F99BA2E3830EC</vt:lpwstr>
  </property>
</Properties>
</file>